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A30" w:rsidRDefault="00807A30" w:rsidP="00807A30">
      <w:pPr>
        <w:spacing w:line="276" w:lineRule="auto"/>
        <w:jc w:val="center"/>
        <w:rPr>
          <w:rFonts w:ascii="Serif" w:hAnsi="Serif"/>
          <w:b/>
          <w:sz w:val="24"/>
          <w:szCs w:val="24"/>
          <w:lang w:val="es-ES"/>
        </w:rPr>
      </w:pPr>
    </w:p>
    <w:p w:rsidR="00807A30" w:rsidRDefault="00807A30" w:rsidP="00807A30">
      <w:pPr>
        <w:spacing w:line="276" w:lineRule="auto"/>
        <w:jc w:val="center"/>
        <w:rPr>
          <w:rFonts w:ascii="Serif" w:hAnsi="Serif"/>
          <w:b/>
          <w:sz w:val="24"/>
          <w:szCs w:val="24"/>
          <w:lang w:val="es-ES"/>
        </w:rPr>
      </w:pPr>
    </w:p>
    <w:p w:rsidR="007022CA" w:rsidRPr="00834FBC" w:rsidRDefault="007022CA" w:rsidP="00807A30">
      <w:pPr>
        <w:spacing w:line="276" w:lineRule="auto"/>
        <w:jc w:val="center"/>
        <w:rPr>
          <w:rFonts w:ascii="Serif" w:hAnsi="Serif"/>
          <w:b/>
          <w:sz w:val="56"/>
          <w:szCs w:val="24"/>
          <w:lang w:val="es-ES"/>
        </w:rPr>
      </w:pPr>
      <w:r w:rsidRPr="00834FBC">
        <w:rPr>
          <w:rFonts w:ascii="Serif" w:hAnsi="Serif"/>
          <w:b/>
          <w:sz w:val="56"/>
          <w:szCs w:val="24"/>
          <w:lang w:val="es-ES"/>
        </w:rPr>
        <w:t xml:space="preserve">SOBRE </w:t>
      </w:r>
      <w:r w:rsidR="00834FBC">
        <w:rPr>
          <w:rFonts w:ascii="Serif" w:hAnsi="Serif"/>
          <w:b/>
          <w:sz w:val="56"/>
          <w:szCs w:val="24"/>
          <w:lang w:val="es-ES"/>
        </w:rPr>
        <w:t>EL PRINCIPIO DE</w:t>
      </w:r>
      <w:r w:rsidRPr="00834FBC">
        <w:rPr>
          <w:rFonts w:ascii="Serif" w:hAnsi="Serif"/>
          <w:b/>
          <w:sz w:val="56"/>
          <w:szCs w:val="24"/>
          <w:lang w:val="es-ES"/>
        </w:rPr>
        <w:t xml:space="preserve"> CAPACIDAD ECONÓMICA</w:t>
      </w:r>
    </w:p>
    <w:p w:rsidR="00807A30" w:rsidRDefault="00807A30" w:rsidP="007022CA">
      <w:pPr>
        <w:spacing w:line="276" w:lineRule="auto"/>
        <w:jc w:val="both"/>
        <w:rPr>
          <w:rFonts w:ascii="Serif" w:hAnsi="Serif"/>
          <w:b/>
          <w:sz w:val="24"/>
          <w:szCs w:val="24"/>
          <w:lang w:val="es-ES"/>
        </w:rPr>
      </w:pPr>
    </w:p>
    <w:p w:rsidR="00834FBC" w:rsidRDefault="00834FBC" w:rsidP="007022CA">
      <w:pPr>
        <w:spacing w:line="276" w:lineRule="auto"/>
        <w:jc w:val="both"/>
        <w:rPr>
          <w:rFonts w:ascii="Serif" w:hAnsi="Serif"/>
          <w:b/>
          <w:sz w:val="24"/>
          <w:szCs w:val="24"/>
          <w:lang w:val="es-ES"/>
        </w:rPr>
      </w:pPr>
      <w:r w:rsidRPr="00834FBC">
        <w:rPr>
          <w:rFonts w:ascii="Serif" w:hAnsi="Serif"/>
          <w:b/>
          <w:sz w:val="24"/>
          <w:szCs w:val="24"/>
          <w:lang w:val="es-ES"/>
        </w:rPr>
        <w:drawing>
          <wp:inline distT="0" distB="0" distL="0" distR="0" wp14:anchorId="4EB14901" wp14:editId="4961F665">
            <wp:extent cx="5486400" cy="299523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995234"/>
                    </a:xfrm>
                    <a:prstGeom prst="rect">
                      <a:avLst/>
                    </a:prstGeom>
                  </pic:spPr>
                </pic:pic>
              </a:graphicData>
            </a:graphic>
          </wp:inline>
        </w:drawing>
      </w:r>
    </w:p>
    <w:p w:rsidR="00807A30" w:rsidRDefault="00807A30" w:rsidP="007022CA">
      <w:pPr>
        <w:spacing w:line="276" w:lineRule="auto"/>
        <w:jc w:val="both"/>
        <w:rPr>
          <w:rFonts w:ascii="Serif" w:hAnsi="Serif"/>
          <w:b/>
          <w:sz w:val="24"/>
          <w:szCs w:val="24"/>
          <w:lang w:val="es-ES"/>
        </w:rPr>
      </w:pPr>
    </w:p>
    <w:p w:rsidR="00807A30" w:rsidRDefault="00807A30" w:rsidP="00807A30">
      <w:pPr>
        <w:spacing w:line="276" w:lineRule="auto"/>
        <w:jc w:val="center"/>
        <w:rPr>
          <w:rFonts w:ascii="Serif" w:hAnsi="Serif"/>
          <w:b/>
          <w:sz w:val="24"/>
          <w:szCs w:val="24"/>
          <w:lang w:val="es-ES"/>
        </w:rPr>
      </w:pPr>
      <w:r>
        <w:rPr>
          <w:rFonts w:ascii="Serif" w:hAnsi="Serif"/>
          <w:b/>
          <w:sz w:val="24"/>
          <w:szCs w:val="24"/>
          <w:lang w:val="es-ES"/>
        </w:rPr>
        <w:t>De Serafina SIALO TORAHO</w:t>
      </w:r>
    </w:p>
    <w:p w:rsidR="00807A30" w:rsidRDefault="00807A30" w:rsidP="00807A30">
      <w:pPr>
        <w:spacing w:line="276" w:lineRule="auto"/>
        <w:jc w:val="center"/>
        <w:rPr>
          <w:rFonts w:ascii="Serif" w:hAnsi="Serif"/>
          <w:b/>
          <w:sz w:val="24"/>
          <w:szCs w:val="24"/>
          <w:lang w:val="es-ES"/>
        </w:rPr>
      </w:pPr>
      <w:r>
        <w:rPr>
          <w:rFonts w:ascii="Serif" w:hAnsi="Serif"/>
          <w:b/>
          <w:sz w:val="24"/>
          <w:szCs w:val="24"/>
          <w:lang w:val="es-ES"/>
        </w:rPr>
        <w:t>Doctorando en Derecho Financiero</w:t>
      </w:r>
    </w:p>
    <w:p w:rsidR="00807A30" w:rsidRDefault="00807A30" w:rsidP="007022CA">
      <w:pPr>
        <w:spacing w:line="276" w:lineRule="auto"/>
        <w:jc w:val="both"/>
        <w:rPr>
          <w:rFonts w:ascii="Serif" w:hAnsi="Serif"/>
          <w:b/>
          <w:sz w:val="24"/>
          <w:szCs w:val="24"/>
          <w:lang w:val="es-ES"/>
        </w:rPr>
      </w:pPr>
    </w:p>
    <w:p w:rsidR="00807A30" w:rsidRDefault="00807A30" w:rsidP="00807A30">
      <w:pPr>
        <w:spacing w:line="276" w:lineRule="auto"/>
        <w:jc w:val="center"/>
        <w:rPr>
          <w:rFonts w:ascii="Serif" w:hAnsi="Serif"/>
          <w:sz w:val="24"/>
          <w:szCs w:val="24"/>
          <w:lang w:val="es-ES"/>
        </w:rPr>
      </w:pPr>
      <w:r w:rsidRPr="007022CA">
        <w:rPr>
          <w:rFonts w:ascii="Serif" w:hAnsi="Serif"/>
          <w:sz w:val="24"/>
          <w:szCs w:val="24"/>
          <w:lang w:val="es-ES"/>
        </w:rPr>
        <w:t>24 julio 2026</w:t>
      </w:r>
    </w:p>
    <w:p w:rsidR="00807A30" w:rsidRDefault="00807A30" w:rsidP="00807A30">
      <w:pPr>
        <w:spacing w:line="276" w:lineRule="auto"/>
        <w:jc w:val="center"/>
        <w:rPr>
          <w:rFonts w:ascii="Serif" w:hAnsi="Serif"/>
          <w:sz w:val="24"/>
          <w:szCs w:val="24"/>
          <w:lang w:val="es-ES"/>
        </w:rPr>
      </w:pPr>
      <w:r>
        <w:rPr>
          <w:rFonts w:ascii="Serif" w:hAnsi="Serif"/>
          <w:sz w:val="24"/>
          <w:szCs w:val="24"/>
          <w:lang w:val="es-ES"/>
        </w:rPr>
        <w:t>(Artículo)</w:t>
      </w:r>
    </w:p>
    <w:p w:rsidR="00807A30" w:rsidRDefault="00807A30" w:rsidP="00807A30">
      <w:pPr>
        <w:spacing w:line="276" w:lineRule="auto"/>
        <w:jc w:val="center"/>
        <w:rPr>
          <w:rFonts w:ascii="Serif" w:hAnsi="Serif"/>
          <w:b/>
          <w:sz w:val="24"/>
          <w:szCs w:val="24"/>
          <w:lang w:val="es-ES"/>
        </w:rPr>
      </w:pPr>
    </w:p>
    <w:p w:rsidR="00807A30" w:rsidRDefault="00807A30" w:rsidP="007022CA">
      <w:pPr>
        <w:spacing w:line="276" w:lineRule="auto"/>
        <w:jc w:val="both"/>
        <w:rPr>
          <w:rFonts w:ascii="Serif" w:hAnsi="Serif"/>
          <w:b/>
          <w:sz w:val="24"/>
          <w:szCs w:val="24"/>
          <w:lang w:val="es-ES"/>
        </w:rPr>
      </w:pPr>
    </w:p>
    <w:p w:rsidR="00807A30" w:rsidRDefault="00807A30" w:rsidP="007022CA">
      <w:pPr>
        <w:spacing w:line="276" w:lineRule="auto"/>
        <w:jc w:val="both"/>
        <w:rPr>
          <w:rFonts w:ascii="Serif" w:hAnsi="Serif"/>
          <w:b/>
          <w:sz w:val="24"/>
          <w:szCs w:val="24"/>
          <w:lang w:val="es-ES"/>
        </w:rPr>
      </w:pPr>
    </w:p>
    <w:p w:rsidR="00807A30" w:rsidRDefault="00807A30" w:rsidP="007022CA">
      <w:pPr>
        <w:spacing w:line="276" w:lineRule="auto"/>
        <w:jc w:val="both"/>
        <w:rPr>
          <w:rFonts w:ascii="Serif" w:hAnsi="Serif"/>
          <w:b/>
          <w:sz w:val="24"/>
          <w:szCs w:val="24"/>
          <w:lang w:val="es-ES"/>
        </w:rPr>
      </w:pPr>
    </w:p>
    <w:p w:rsidR="00834FBC" w:rsidRDefault="00834FBC" w:rsidP="007022CA">
      <w:pPr>
        <w:spacing w:line="276" w:lineRule="auto"/>
        <w:jc w:val="both"/>
        <w:rPr>
          <w:rFonts w:ascii="Serif" w:hAnsi="Serif"/>
          <w:b/>
          <w:sz w:val="24"/>
          <w:szCs w:val="24"/>
          <w:lang w:val="es-ES"/>
        </w:rPr>
      </w:pPr>
    </w:p>
    <w:p w:rsidR="00807A30" w:rsidRDefault="00807A30" w:rsidP="007022CA">
      <w:pPr>
        <w:spacing w:line="276" w:lineRule="auto"/>
        <w:jc w:val="both"/>
        <w:rPr>
          <w:rFonts w:ascii="Serif" w:hAnsi="Serif"/>
          <w:b/>
          <w:sz w:val="24"/>
          <w:szCs w:val="24"/>
          <w:lang w:val="es-ES"/>
        </w:rPr>
      </w:pPr>
    </w:p>
    <w:p w:rsidR="00807A30" w:rsidRPr="00A60995" w:rsidRDefault="00807A30" w:rsidP="007022CA">
      <w:pPr>
        <w:spacing w:line="276" w:lineRule="auto"/>
        <w:jc w:val="both"/>
        <w:rPr>
          <w:rFonts w:ascii="Serif" w:hAnsi="Serif"/>
          <w:b/>
          <w:sz w:val="24"/>
          <w:szCs w:val="24"/>
          <w:lang w:val="es-ES"/>
        </w:rPr>
      </w:pPr>
    </w:p>
    <w:sdt>
      <w:sdtPr>
        <w:rPr>
          <w:rFonts w:ascii="Serif" w:hAnsi="Serif"/>
          <w:sz w:val="26"/>
          <w:szCs w:val="26"/>
        </w:rPr>
        <w:id w:val="494380797"/>
        <w:docPartObj>
          <w:docPartGallery w:val="Table of Contents"/>
          <w:docPartUnique/>
        </w:docPartObj>
      </w:sdtPr>
      <w:sdtEndPr>
        <w:rPr>
          <w:rFonts w:eastAsiaTheme="minorHAnsi" w:cstheme="minorBidi"/>
          <w:color w:val="auto"/>
          <w:lang w:val="en-US" w:eastAsia="en-US"/>
        </w:rPr>
      </w:sdtEndPr>
      <w:sdtContent>
        <w:p w:rsidR="00A60995" w:rsidRPr="007A3208" w:rsidRDefault="00A60995">
          <w:pPr>
            <w:pStyle w:val="TtulodeTDC"/>
            <w:rPr>
              <w:rFonts w:ascii="Serif" w:hAnsi="Serif"/>
              <w:sz w:val="26"/>
              <w:szCs w:val="26"/>
            </w:rPr>
          </w:pPr>
          <w:r w:rsidRPr="007A3208">
            <w:rPr>
              <w:rFonts w:ascii="Serif" w:hAnsi="Serif"/>
              <w:sz w:val="26"/>
              <w:szCs w:val="26"/>
            </w:rPr>
            <w:t>Contenido</w:t>
          </w:r>
        </w:p>
        <w:p w:rsidR="00116AF7" w:rsidRPr="007A3208" w:rsidRDefault="00A60995">
          <w:pPr>
            <w:pStyle w:val="TDC1"/>
            <w:tabs>
              <w:tab w:val="right" w:leader="dot" w:pos="8630"/>
            </w:tabs>
            <w:rPr>
              <w:rFonts w:asciiTheme="minorHAnsi" w:eastAsiaTheme="minorEastAsia"/>
              <w:noProof/>
              <w:sz w:val="26"/>
              <w:szCs w:val="26"/>
              <w:lang w:val="es-ES" w:eastAsia="es-ES"/>
            </w:rPr>
          </w:pPr>
          <w:r w:rsidRPr="007A3208">
            <w:rPr>
              <w:rFonts w:ascii="Serif" w:hAnsi="Serif"/>
              <w:sz w:val="26"/>
              <w:szCs w:val="26"/>
            </w:rPr>
            <w:fldChar w:fldCharType="begin"/>
          </w:r>
          <w:r w:rsidRPr="007A3208">
            <w:rPr>
              <w:rFonts w:ascii="Serif" w:hAnsi="Serif"/>
              <w:sz w:val="26"/>
              <w:szCs w:val="26"/>
            </w:rPr>
            <w:instrText xml:space="preserve"> TOC \o "1-3" \h \z \u </w:instrText>
          </w:r>
          <w:r w:rsidRPr="007A3208">
            <w:rPr>
              <w:rFonts w:ascii="Serif" w:hAnsi="Serif"/>
              <w:sz w:val="26"/>
              <w:szCs w:val="26"/>
            </w:rPr>
            <w:fldChar w:fldCharType="separate"/>
          </w:r>
          <w:hyperlink w:anchor="_Toc235815247" w:history="1">
            <w:r w:rsidR="00116AF7" w:rsidRPr="007A3208">
              <w:rPr>
                <w:rStyle w:val="Hipervnculo"/>
                <w:rFonts w:ascii="Serif" w:hAnsi="Serif"/>
                <w:noProof/>
                <w:sz w:val="26"/>
                <w:szCs w:val="26"/>
                <w:lang w:val="es-ES"/>
              </w:rPr>
              <w:t>¿Cómo se entiende la capacidad económica según la legislación española?</w:t>
            </w:r>
            <w:r w:rsidR="00116AF7" w:rsidRPr="007A3208">
              <w:rPr>
                <w:noProof/>
                <w:webHidden/>
                <w:sz w:val="26"/>
                <w:szCs w:val="26"/>
              </w:rPr>
              <w:tab/>
            </w:r>
            <w:r w:rsidR="00116AF7" w:rsidRPr="007A3208">
              <w:rPr>
                <w:noProof/>
                <w:webHidden/>
                <w:sz w:val="26"/>
                <w:szCs w:val="26"/>
              </w:rPr>
              <w:fldChar w:fldCharType="begin"/>
            </w:r>
            <w:r w:rsidR="00116AF7" w:rsidRPr="007A3208">
              <w:rPr>
                <w:noProof/>
                <w:webHidden/>
                <w:sz w:val="26"/>
                <w:szCs w:val="26"/>
              </w:rPr>
              <w:instrText xml:space="preserve"> PAGEREF _Toc235815247 \h </w:instrText>
            </w:r>
            <w:r w:rsidR="00116AF7" w:rsidRPr="007A3208">
              <w:rPr>
                <w:noProof/>
                <w:webHidden/>
                <w:sz w:val="26"/>
                <w:szCs w:val="26"/>
              </w:rPr>
            </w:r>
            <w:r w:rsidR="00116AF7" w:rsidRPr="007A3208">
              <w:rPr>
                <w:noProof/>
                <w:webHidden/>
                <w:sz w:val="26"/>
                <w:szCs w:val="26"/>
              </w:rPr>
              <w:fldChar w:fldCharType="separate"/>
            </w:r>
            <w:r w:rsidR="00116AF7" w:rsidRPr="007A3208">
              <w:rPr>
                <w:noProof/>
                <w:webHidden/>
                <w:sz w:val="26"/>
                <w:szCs w:val="26"/>
              </w:rPr>
              <w:t>3</w:t>
            </w:r>
            <w:r w:rsidR="00116AF7"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48" w:history="1">
            <w:r w:rsidRPr="007A3208">
              <w:rPr>
                <w:rStyle w:val="Hipervnculo"/>
                <w:rFonts w:ascii="Serif" w:hAnsi="Serif"/>
                <w:noProof/>
                <w:sz w:val="26"/>
                <w:szCs w:val="26"/>
                <w:lang w:val="es-ES"/>
              </w:rPr>
              <w:t>1.</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Base constitucional</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_Toc235815248 \h </w:instrText>
            </w:r>
            <w:r w:rsidRPr="007A3208">
              <w:rPr>
                <w:noProof/>
                <w:webHidden/>
                <w:sz w:val="26"/>
                <w:szCs w:val="26"/>
              </w:rPr>
            </w:r>
            <w:r w:rsidRPr="007A3208">
              <w:rPr>
                <w:noProof/>
                <w:webHidden/>
                <w:sz w:val="26"/>
                <w:szCs w:val="26"/>
              </w:rPr>
              <w:fldChar w:fldCharType="separate"/>
            </w:r>
            <w:r w:rsidRPr="007A3208">
              <w:rPr>
                <w:noProof/>
                <w:webHidden/>
                <w:sz w:val="26"/>
                <w:szCs w:val="26"/>
              </w:rPr>
              <w:t>3</w:t>
            </w:r>
            <w:r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49" w:history="1">
            <w:r w:rsidRPr="007A3208">
              <w:rPr>
                <w:rStyle w:val="Hipervnculo"/>
                <w:rFonts w:ascii="Serif" w:hAnsi="Serif"/>
                <w:noProof/>
                <w:sz w:val="26"/>
                <w:szCs w:val="26"/>
                <w:lang w:val="es-ES"/>
              </w:rPr>
              <w:t>2.</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Significado material</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_Toc235815249 \h </w:instrText>
            </w:r>
            <w:r w:rsidRPr="007A3208">
              <w:rPr>
                <w:noProof/>
                <w:webHidden/>
                <w:sz w:val="26"/>
                <w:szCs w:val="26"/>
              </w:rPr>
            </w:r>
            <w:r w:rsidRPr="007A3208">
              <w:rPr>
                <w:noProof/>
                <w:webHidden/>
                <w:sz w:val="26"/>
                <w:szCs w:val="26"/>
              </w:rPr>
              <w:fldChar w:fldCharType="separate"/>
            </w:r>
            <w:r w:rsidRPr="007A3208">
              <w:rPr>
                <w:noProof/>
                <w:webHidden/>
                <w:sz w:val="26"/>
                <w:szCs w:val="26"/>
              </w:rPr>
              <w:t>4</w:t>
            </w:r>
            <w:r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50" w:history="1">
            <w:r w:rsidRPr="007A3208">
              <w:rPr>
                <w:rStyle w:val="Hipervnculo"/>
                <w:rFonts w:ascii="Serif" w:hAnsi="Serif"/>
                <w:noProof/>
                <w:sz w:val="26"/>
                <w:szCs w:val="26"/>
                <w:lang w:val="es-ES"/>
              </w:rPr>
              <w:t>3.</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Doble dimensión: fundamento y medida</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_Toc235815250 \h </w:instrText>
            </w:r>
            <w:r w:rsidRPr="007A3208">
              <w:rPr>
                <w:noProof/>
                <w:webHidden/>
                <w:sz w:val="26"/>
                <w:szCs w:val="26"/>
              </w:rPr>
            </w:r>
            <w:r w:rsidRPr="007A3208">
              <w:rPr>
                <w:noProof/>
                <w:webHidden/>
                <w:sz w:val="26"/>
                <w:szCs w:val="26"/>
              </w:rPr>
              <w:fldChar w:fldCharType="separate"/>
            </w:r>
            <w:r w:rsidRPr="007A3208">
              <w:rPr>
                <w:noProof/>
                <w:webHidden/>
                <w:sz w:val="26"/>
                <w:szCs w:val="26"/>
              </w:rPr>
              <w:t>5</w:t>
            </w:r>
            <w:r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53" w:history="1">
            <w:r w:rsidRPr="007A3208">
              <w:rPr>
                <w:rStyle w:val="Hipervnculo"/>
                <w:rFonts w:ascii="Serif" w:hAnsi="Serif"/>
                <w:noProof/>
                <w:sz w:val="26"/>
                <w:szCs w:val="26"/>
                <w:lang w:val="es-ES"/>
              </w:rPr>
              <w:t>4.</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Aspectos prohibidos por el principio de capacidad económica</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_Toc235815253 \h </w:instrText>
            </w:r>
            <w:r w:rsidRPr="007A3208">
              <w:rPr>
                <w:noProof/>
                <w:webHidden/>
                <w:sz w:val="26"/>
                <w:szCs w:val="26"/>
              </w:rPr>
            </w:r>
            <w:r w:rsidRPr="007A3208">
              <w:rPr>
                <w:noProof/>
                <w:webHidden/>
                <w:sz w:val="26"/>
                <w:szCs w:val="26"/>
              </w:rPr>
              <w:fldChar w:fldCharType="separate"/>
            </w:r>
            <w:r w:rsidRPr="007A3208">
              <w:rPr>
                <w:noProof/>
                <w:webHidden/>
                <w:sz w:val="26"/>
                <w:szCs w:val="26"/>
              </w:rPr>
              <w:t>5</w:t>
            </w:r>
            <w:r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54" w:history="1">
            <w:r w:rsidRPr="007A3208">
              <w:rPr>
                <w:rStyle w:val="Hipervnculo"/>
                <w:rFonts w:ascii="Serif" w:hAnsi="Serif"/>
                <w:noProof/>
                <w:sz w:val="26"/>
                <w:szCs w:val="26"/>
                <w:lang w:val="es-ES"/>
              </w:rPr>
              <w:t>5.</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No exige perfección absoluta</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_Toc235815254 \h </w:instrText>
            </w:r>
            <w:r w:rsidRPr="007A3208">
              <w:rPr>
                <w:noProof/>
                <w:webHidden/>
                <w:sz w:val="26"/>
                <w:szCs w:val="26"/>
              </w:rPr>
            </w:r>
            <w:r w:rsidRPr="007A3208">
              <w:rPr>
                <w:noProof/>
                <w:webHidden/>
                <w:sz w:val="26"/>
                <w:szCs w:val="26"/>
              </w:rPr>
              <w:fldChar w:fldCharType="separate"/>
            </w:r>
            <w:r w:rsidRPr="007A3208">
              <w:rPr>
                <w:noProof/>
                <w:webHidden/>
                <w:sz w:val="26"/>
                <w:szCs w:val="26"/>
              </w:rPr>
              <w:t>6</w:t>
            </w:r>
            <w:r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55" w:history="1">
            <w:r w:rsidRPr="007A3208">
              <w:rPr>
                <w:rStyle w:val="Hipervnculo"/>
                <w:rFonts w:ascii="Serif" w:hAnsi="Serif"/>
                <w:noProof/>
                <w:sz w:val="26"/>
                <w:szCs w:val="26"/>
                <w:lang w:val="es-ES"/>
              </w:rPr>
              <w:t>6.</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Relación con otros principios</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_Toc235815255 \h </w:instrText>
            </w:r>
            <w:r w:rsidRPr="007A3208">
              <w:rPr>
                <w:noProof/>
                <w:webHidden/>
                <w:sz w:val="26"/>
                <w:szCs w:val="26"/>
              </w:rPr>
            </w:r>
            <w:r w:rsidRPr="007A3208">
              <w:rPr>
                <w:noProof/>
                <w:webHidden/>
                <w:sz w:val="26"/>
                <w:szCs w:val="26"/>
              </w:rPr>
              <w:fldChar w:fldCharType="separate"/>
            </w:r>
            <w:r w:rsidRPr="007A3208">
              <w:rPr>
                <w:noProof/>
                <w:webHidden/>
                <w:sz w:val="26"/>
                <w:szCs w:val="26"/>
              </w:rPr>
              <w:t>6</w:t>
            </w:r>
            <w:r w:rsidRPr="007A3208">
              <w:rPr>
                <w:noProof/>
                <w:webHidden/>
                <w:sz w:val="26"/>
                <w:szCs w:val="26"/>
              </w:rPr>
              <w:fldChar w:fldCharType="end"/>
            </w:r>
          </w:hyperlink>
        </w:p>
        <w:p w:rsidR="00116AF7" w:rsidRPr="007A3208" w:rsidRDefault="00116AF7">
          <w:pPr>
            <w:pStyle w:val="TDC1"/>
            <w:tabs>
              <w:tab w:val="left" w:pos="400"/>
              <w:tab w:val="right" w:leader="dot" w:pos="8630"/>
            </w:tabs>
            <w:rPr>
              <w:rFonts w:asciiTheme="minorHAnsi" w:eastAsiaTheme="minorEastAsia"/>
              <w:noProof/>
              <w:sz w:val="26"/>
              <w:szCs w:val="26"/>
              <w:lang w:val="es-ES" w:eastAsia="es-ES"/>
            </w:rPr>
          </w:pPr>
          <w:hyperlink w:anchor="_Toc235815256" w:history="1">
            <w:r w:rsidRPr="007A3208">
              <w:rPr>
                <w:rStyle w:val="Hipervnculo"/>
                <w:rFonts w:ascii="Serif" w:hAnsi="Serif"/>
                <w:noProof/>
                <w:sz w:val="26"/>
                <w:szCs w:val="26"/>
                <w:lang w:val="es-ES"/>
              </w:rPr>
              <w:t>7.</w:t>
            </w:r>
            <w:r w:rsidRPr="007A3208">
              <w:rPr>
                <w:rFonts w:asciiTheme="minorHAnsi" w:eastAsiaTheme="minorEastAsia"/>
                <w:noProof/>
                <w:sz w:val="26"/>
                <w:szCs w:val="26"/>
                <w:lang w:val="es-ES" w:eastAsia="es-ES"/>
              </w:rPr>
              <w:tab/>
            </w:r>
            <w:r w:rsidRPr="007A3208">
              <w:rPr>
                <w:rStyle w:val="Hipervnculo"/>
                <w:rFonts w:ascii="Serif" w:hAnsi="Serif"/>
                <w:noProof/>
                <w:sz w:val="26"/>
                <w:szCs w:val="26"/>
                <w:lang w:val="es-ES"/>
              </w:rPr>
              <w:t>Capacidad económica en las tasas</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_Toc235815256 \h </w:instrText>
            </w:r>
            <w:r w:rsidRPr="007A3208">
              <w:rPr>
                <w:noProof/>
                <w:webHidden/>
                <w:sz w:val="26"/>
                <w:szCs w:val="26"/>
              </w:rPr>
            </w:r>
            <w:r w:rsidRPr="007A3208">
              <w:rPr>
                <w:noProof/>
                <w:webHidden/>
                <w:sz w:val="26"/>
                <w:szCs w:val="26"/>
              </w:rPr>
              <w:fldChar w:fldCharType="separate"/>
            </w:r>
            <w:r w:rsidRPr="007A3208">
              <w:rPr>
                <w:noProof/>
                <w:webHidden/>
                <w:sz w:val="26"/>
                <w:szCs w:val="26"/>
              </w:rPr>
              <w:t>7</w:t>
            </w:r>
            <w:r w:rsidRPr="007A3208">
              <w:rPr>
                <w:noProof/>
                <w:webHidden/>
                <w:sz w:val="26"/>
                <w:szCs w:val="26"/>
              </w:rPr>
              <w:fldChar w:fldCharType="end"/>
            </w:r>
          </w:hyperlink>
        </w:p>
        <w:p w:rsidR="00116AF7" w:rsidRPr="007A3208" w:rsidRDefault="00116AF7">
          <w:pPr>
            <w:pStyle w:val="TDC1"/>
            <w:tabs>
              <w:tab w:val="right" w:leader="dot" w:pos="8630"/>
            </w:tabs>
            <w:rPr>
              <w:rFonts w:asciiTheme="minorHAnsi" w:eastAsiaTheme="minorEastAsia"/>
              <w:noProof/>
              <w:sz w:val="26"/>
              <w:szCs w:val="26"/>
              <w:lang w:val="es-ES" w:eastAsia="es-ES"/>
            </w:rPr>
          </w:pPr>
          <w:hyperlink w:anchor="_Toc235815257" w:history="1">
            <w:r w:rsidRPr="007A3208">
              <w:rPr>
                <w:rStyle w:val="Hipervnculo"/>
                <w:rFonts w:ascii="Serif" w:eastAsia="Times New Roman" w:hAnsi="Serif" w:cs="Times New Roman"/>
                <w:noProof/>
                <w:sz w:val="26"/>
                <w:szCs w:val="26"/>
                <w:lang w:val="es-ES" w:eastAsia="es-ES"/>
              </w:rPr>
              <w:t>¿Cómo se entiende la Capacidad Económica según la legislación ecuatoguineana? (Arts. 19 y 20 LF)</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_Toc235815257 \h </w:instrText>
            </w:r>
            <w:r w:rsidRPr="007A3208">
              <w:rPr>
                <w:noProof/>
                <w:webHidden/>
                <w:sz w:val="26"/>
                <w:szCs w:val="26"/>
              </w:rPr>
            </w:r>
            <w:r w:rsidRPr="007A3208">
              <w:rPr>
                <w:noProof/>
                <w:webHidden/>
                <w:sz w:val="26"/>
                <w:szCs w:val="26"/>
              </w:rPr>
              <w:fldChar w:fldCharType="separate"/>
            </w:r>
            <w:r w:rsidRPr="007A3208">
              <w:rPr>
                <w:noProof/>
                <w:webHidden/>
                <w:sz w:val="26"/>
                <w:szCs w:val="26"/>
              </w:rPr>
              <w:t>7</w:t>
            </w:r>
            <w:r w:rsidRPr="007A3208">
              <w:rPr>
                <w:noProof/>
                <w:webHidden/>
                <w:sz w:val="26"/>
                <w:szCs w:val="26"/>
              </w:rPr>
              <w:fldChar w:fldCharType="end"/>
            </w:r>
          </w:hyperlink>
        </w:p>
        <w:p w:rsidR="00116AF7" w:rsidRPr="007A3208" w:rsidRDefault="00116AF7">
          <w:pPr>
            <w:pStyle w:val="TDC1"/>
            <w:tabs>
              <w:tab w:val="right" w:leader="dot" w:pos="8630"/>
            </w:tabs>
            <w:rPr>
              <w:rFonts w:asciiTheme="minorHAnsi" w:eastAsiaTheme="minorEastAsia"/>
              <w:noProof/>
              <w:sz w:val="26"/>
              <w:szCs w:val="26"/>
              <w:lang w:val="es-ES" w:eastAsia="es-ES"/>
            </w:rPr>
          </w:pPr>
          <w:hyperlink w:anchor="_Toc235815258" w:history="1">
            <w:r w:rsidRPr="007A3208">
              <w:rPr>
                <w:rStyle w:val="Hipervnculo"/>
                <w:rFonts w:ascii="Serif" w:hAnsi="Serif"/>
                <w:noProof/>
                <w:sz w:val="26"/>
                <w:szCs w:val="26"/>
                <w:lang w:val="es-ES"/>
              </w:rPr>
              <w:t>CONCLUSIÓN</w:t>
            </w:r>
            <w:r w:rsidRPr="007A3208">
              <w:rPr>
                <w:noProof/>
                <w:webHidden/>
                <w:sz w:val="26"/>
                <w:szCs w:val="26"/>
              </w:rPr>
              <w:tab/>
            </w:r>
            <w:r w:rsidRPr="007A3208">
              <w:rPr>
                <w:noProof/>
                <w:webHidden/>
                <w:sz w:val="26"/>
                <w:szCs w:val="26"/>
              </w:rPr>
              <w:fldChar w:fldCharType="begin"/>
            </w:r>
            <w:r w:rsidRPr="007A3208">
              <w:rPr>
                <w:noProof/>
                <w:webHidden/>
                <w:sz w:val="26"/>
                <w:szCs w:val="26"/>
              </w:rPr>
              <w:instrText xml:space="preserve"> PAGEREF _Toc235815258 \h </w:instrText>
            </w:r>
            <w:r w:rsidRPr="007A3208">
              <w:rPr>
                <w:noProof/>
                <w:webHidden/>
                <w:sz w:val="26"/>
                <w:szCs w:val="26"/>
              </w:rPr>
            </w:r>
            <w:r w:rsidRPr="007A3208">
              <w:rPr>
                <w:noProof/>
                <w:webHidden/>
                <w:sz w:val="26"/>
                <w:szCs w:val="26"/>
              </w:rPr>
              <w:fldChar w:fldCharType="separate"/>
            </w:r>
            <w:r w:rsidRPr="007A3208">
              <w:rPr>
                <w:noProof/>
                <w:webHidden/>
                <w:sz w:val="26"/>
                <w:szCs w:val="26"/>
              </w:rPr>
              <w:t>7</w:t>
            </w:r>
            <w:r w:rsidRPr="007A3208">
              <w:rPr>
                <w:noProof/>
                <w:webHidden/>
                <w:sz w:val="26"/>
                <w:szCs w:val="26"/>
              </w:rPr>
              <w:fldChar w:fldCharType="end"/>
            </w:r>
          </w:hyperlink>
        </w:p>
        <w:p w:rsidR="00A60995" w:rsidRPr="00807A30" w:rsidRDefault="00A60995">
          <w:pPr>
            <w:rPr>
              <w:rFonts w:ascii="Serif" w:hAnsi="Serif"/>
              <w:sz w:val="26"/>
              <w:szCs w:val="26"/>
            </w:rPr>
          </w:pPr>
          <w:r w:rsidRPr="007A3208">
            <w:rPr>
              <w:rFonts w:ascii="Serif" w:hAnsi="Serif"/>
              <w:b/>
              <w:bCs/>
              <w:sz w:val="26"/>
              <w:szCs w:val="26"/>
            </w:rPr>
            <w:fldChar w:fldCharType="end"/>
          </w:r>
        </w:p>
      </w:sdtContent>
    </w:sdt>
    <w:p w:rsidR="00A60995" w:rsidRPr="00807A30" w:rsidRDefault="00A60995" w:rsidP="007022CA">
      <w:pPr>
        <w:pStyle w:val="Ttulo1"/>
        <w:spacing w:line="276" w:lineRule="auto"/>
        <w:jc w:val="both"/>
        <w:rPr>
          <w:rFonts w:ascii="Serif" w:hAnsi="Serif"/>
          <w:sz w:val="26"/>
          <w:szCs w:val="26"/>
          <w:lang w:val="es-ES"/>
        </w:rPr>
      </w:pPr>
    </w:p>
    <w:p w:rsidR="00A60995" w:rsidRPr="00807A30" w:rsidRDefault="00A60995" w:rsidP="007022CA">
      <w:pPr>
        <w:pStyle w:val="Ttulo1"/>
        <w:spacing w:line="276" w:lineRule="auto"/>
        <w:jc w:val="both"/>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Default="00807A30" w:rsidP="00807A30">
      <w:pPr>
        <w:rPr>
          <w:rFonts w:ascii="Serif" w:hAnsi="Serif"/>
          <w:sz w:val="26"/>
          <w:szCs w:val="26"/>
          <w:lang w:val="es-ES"/>
        </w:rPr>
      </w:pPr>
    </w:p>
    <w:p w:rsidR="00834FBC" w:rsidRDefault="00834FBC" w:rsidP="00807A30">
      <w:pPr>
        <w:rPr>
          <w:rFonts w:ascii="Serif" w:hAnsi="Serif"/>
          <w:sz w:val="26"/>
          <w:szCs w:val="26"/>
          <w:lang w:val="es-ES"/>
        </w:rPr>
      </w:pPr>
    </w:p>
    <w:p w:rsidR="00834FBC" w:rsidRDefault="00834FBC" w:rsidP="00807A30">
      <w:pPr>
        <w:rPr>
          <w:rFonts w:ascii="Serif" w:hAnsi="Serif"/>
          <w:sz w:val="26"/>
          <w:szCs w:val="26"/>
          <w:lang w:val="es-ES"/>
        </w:rPr>
      </w:pPr>
    </w:p>
    <w:p w:rsidR="00834FBC" w:rsidRPr="00807A30" w:rsidRDefault="00834FBC"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807A30" w:rsidRPr="00807A30" w:rsidRDefault="00807A30" w:rsidP="00807A30">
      <w:pPr>
        <w:rPr>
          <w:rFonts w:ascii="Serif" w:hAnsi="Serif"/>
          <w:sz w:val="26"/>
          <w:szCs w:val="26"/>
          <w:lang w:val="es-ES"/>
        </w:rPr>
      </w:pPr>
    </w:p>
    <w:p w:rsidR="003911E2" w:rsidRPr="00807A30" w:rsidRDefault="00A60995" w:rsidP="00A60995">
      <w:pPr>
        <w:pStyle w:val="Ttulo1"/>
        <w:rPr>
          <w:rFonts w:ascii="Serif" w:hAnsi="Serif"/>
          <w:sz w:val="26"/>
          <w:szCs w:val="26"/>
          <w:lang w:val="es-ES"/>
        </w:rPr>
      </w:pPr>
      <w:bookmarkStart w:id="0" w:name="_Toc235815247"/>
      <w:r w:rsidRPr="00807A30">
        <w:rPr>
          <w:rFonts w:ascii="Serif" w:hAnsi="Serif"/>
          <w:sz w:val="26"/>
          <w:szCs w:val="26"/>
          <w:lang w:val="es-ES"/>
        </w:rPr>
        <w:lastRenderedPageBreak/>
        <w:t>¿</w:t>
      </w:r>
      <w:r w:rsidR="00A636B3" w:rsidRPr="00807A30">
        <w:rPr>
          <w:rFonts w:ascii="Serif" w:hAnsi="Serif"/>
          <w:sz w:val="26"/>
          <w:szCs w:val="26"/>
          <w:lang w:val="es-ES"/>
        </w:rPr>
        <w:t>Cómo se entiende la capacidad económica</w:t>
      </w:r>
      <w:r w:rsidRPr="00807A30">
        <w:rPr>
          <w:rFonts w:ascii="Serif" w:hAnsi="Serif"/>
          <w:sz w:val="26"/>
          <w:szCs w:val="26"/>
          <w:lang w:val="es-ES"/>
        </w:rPr>
        <w:t xml:space="preserve"> según la legislación española?</w:t>
      </w:r>
      <w:bookmarkEnd w:id="0"/>
    </w:p>
    <w:p w:rsidR="00A60995" w:rsidRPr="00807A30" w:rsidRDefault="00A60995" w:rsidP="00A60995">
      <w:pPr>
        <w:rPr>
          <w:rFonts w:ascii="Serif" w:hAnsi="Serif"/>
          <w:sz w:val="26"/>
          <w:szCs w:val="26"/>
          <w:lang w:val="es-ES"/>
        </w:rPr>
      </w:pPr>
    </w:p>
    <w:p w:rsidR="001C4E59" w:rsidRPr="00807A30" w:rsidRDefault="00A636B3" w:rsidP="001C4E59">
      <w:pPr>
        <w:spacing w:line="276" w:lineRule="auto"/>
        <w:ind w:firstLine="720"/>
        <w:jc w:val="both"/>
        <w:rPr>
          <w:rFonts w:ascii="Serif" w:hAnsi="Serif"/>
          <w:sz w:val="26"/>
          <w:szCs w:val="26"/>
          <w:lang w:val="es-ES"/>
        </w:rPr>
      </w:pPr>
      <w:r w:rsidRPr="00807A30">
        <w:rPr>
          <w:rFonts w:ascii="Serif" w:hAnsi="Serif"/>
          <w:sz w:val="26"/>
          <w:szCs w:val="26"/>
          <w:lang w:val="es-ES"/>
        </w:rPr>
        <w:t xml:space="preserve">La </w:t>
      </w:r>
      <w:r w:rsidRPr="00807A30">
        <w:rPr>
          <w:rFonts w:ascii="Serif" w:hAnsi="Serif"/>
          <w:b/>
          <w:sz w:val="26"/>
          <w:szCs w:val="26"/>
          <w:lang w:val="es-ES"/>
        </w:rPr>
        <w:t>capacidad económica</w:t>
      </w:r>
      <w:r w:rsidRPr="00807A30">
        <w:rPr>
          <w:rFonts w:ascii="Serif" w:hAnsi="Serif"/>
          <w:sz w:val="26"/>
          <w:szCs w:val="26"/>
          <w:lang w:val="es-ES"/>
        </w:rPr>
        <w:t xml:space="preserve"> se entiende, en Derecho tributario español, como el </w:t>
      </w:r>
      <w:r w:rsidRPr="00807A30">
        <w:rPr>
          <w:rFonts w:ascii="Serif" w:hAnsi="Serif"/>
          <w:b/>
          <w:sz w:val="26"/>
          <w:szCs w:val="26"/>
          <w:lang w:val="es-ES"/>
        </w:rPr>
        <w:t>criterio constitucional que justifica y limita la imposición</w:t>
      </w:r>
      <w:r w:rsidR="00807A30">
        <w:rPr>
          <w:rFonts w:ascii="Serif" w:hAnsi="Serif"/>
          <w:sz w:val="26"/>
          <w:szCs w:val="26"/>
          <w:lang w:val="es-ES"/>
        </w:rPr>
        <w:t>, es decir,</w:t>
      </w:r>
      <w:r w:rsidRPr="00807A30">
        <w:rPr>
          <w:rFonts w:ascii="Serif" w:hAnsi="Serif"/>
          <w:sz w:val="26"/>
          <w:szCs w:val="26"/>
          <w:lang w:val="es-ES"/>
        </w:rPr>
        <w:t xml:space="preserve"> cada persona debe contribuir a los gastos públicos según la riqueza que realmente o potencialmente manifiesta</w:t>
      </w:r>
      <w:r w:rsidR="001C4E59">
        <w:rPr>
          <w:rStyle w:val="Refdenotaalpie"/>
          <w:rFonts w:ascii="Serif" w:hAnsi="Serif"/>
          <w:sz w:val="26"/>
          <w:szCs w:val="26"/>
          <w:lang w:val="es-ES"/>
        </w:rPr>
        <w:footnoteReference w:id="1"/>
      </w:r>
    </w:p>
    <w:p w:rsidR="003911E2" w:rsidRDefault="00A636B3" w:rsidP="001C4E59">
      <w:pPr>
        <w:pStyle w:val="Ttulo1"/>
        <w:numPr>
          <w:ilvl w:val="0"/>
          <w:numId w:val="6"/>
        </w:numPr>
        <w:rPr>
          <w:rFonts w:ascii="Serif" w:hAnsi="Serif"/>
          <w:sz w:val="26"/>
          <w:szCs w:val="26"/>
          <w:lang w:val="es-ES"/>
        </w:rPr>
      </w:pPr>
      <w:bookmarkStart w:id="1" w:name="_Toc235815248"/>
      <w:r w:rsidRPr="00807A30">
        <w:rPr>
          <w:rFonts w:ascii="Serif" w:hAnsi="Serif"/>
          <w:sz w:val="26"/>
          <w:szCs w:val="26"/>
          <w:lang w:val="es-ES"/>
        </w:rPr>
        <w:t>Base constitucional</w:t>
      </w:r>
      <w:bookmarkEnd w:id="1"/>
    </w:p>
    <w:p w:rsidR="001C4E59" w:rsidRPr="001C4E59" w:rsidRDefault="001C4E59" w:rsidP="001C4E59">
      <w:pPr>
        <w:rPr>
          <w:lang w:val="es-ES"/>
        </w:rPr>
      </w:pPr>
    </w:p>
    <w:p w:rsidR="001C4E59" w:rsidRDefault="00A636B3" w:rsidP="001C4E59">
      <w:pPr>
        <w:spacing w:line="276" w:lineRule="auto"/>
        <w:ind w:firstLine="720"/>
        <w:jc w:val="both"/>
        <w:rPr>
          <w:rFonts w:ascii="Serif" w:hAnsi="Serif"/>
          <w:sz w:val="26"/>
          <w:szCs w:val="26"/>
          <w:lang w:val="es-ES"/>
        </w:rPr>
      </w:pPr>
      <w:r w:rsidRPr="00807A30">
        <w:rPr>
          <w:rFonts w:ascii="Serif" w:hAnsi="Serif"/>
          <w:sz w:val="26"/>
          <w:szCs w:val="26"/>
          <w:lang w:val="es-ES"/>
        </w:rPr>
        <w:t>El punto de partida es el artículo 31.1 de la Cons</w:t>
      </w:r>
      <w:r w:rsidR="001C4E59">
        <w:rPr>
          <w:rFonts w:ascii="Serif" w:hAnsi="Serif"/>
          <w:sz w:val="26"/>
          <w:szCs w:val="26"/>
          <w:lang w:val="es-ES"/>
        </w:rPr>
        <w:t xml:space="preserve">titución española que dice: </w:t>
      </w:r>
      <w:r w:rsidRPr="00807A30">
        <w:rPr>
          <w:rFonts w:ascii="Serif" w:hAnsi="Serif"/>
          <w:sz w:val="26"/>
          <w:szCs w:val="26"/>
          <w:lang w:val="es-ES"/>
        </w:rPr>
        <w:t xml:space="preserve">“Todos contribuirán al sostenimiento de los gastos públicos de acuerdo con su capacidad económica mediante un sistema tributario justo inspirado en los principios de igualdad y progresividad que, en ningún caso, tendrá alcance confiscatorio.” </w:t>
      </w:r>
    </w:p>
    <w:p w:rsidR="003911E2" w:rsidRPr="00807A30" w:rsidRDefault="00A636B3" w:rsidP="001C4E59">
      <w:pPr>
        <w:spacing w:line="276" w:lineRule="auto"/>
        <w:ind w:firstLine="720"/>
        <w:jc w:val="both"/>
        <w:rPr>
          <w:rFonts w:ascii="Serif" w:hAnsi="Serif"/>
          <w:sz w:val="26"/>
          <w:szCs w:val="26"/>
          <w:lang w:val="es-ES"/>
        </w:rPr>
      </w:pPr>
      <w:r w:rsidRPr="00807A30">
        <w:rPr>
          <w:rFonts w:ascii="Serif" w:hAnsi="Serif"/>
          <w:sz w:val="26"/>
          <w:szCs w:val="26"/>
          <w:lang w:val="es-ES"/>
        </w:rPr>
        <w:t xml:space="preserve">De esta norma se desprende que la capacidad económica no es una idea meramente política, sino un </w:t>
      </w:r>
      <w:r w:rsidRPr="00807A30">
        <w:rPr>
          <w:rFonts w:ascii="Serif" w:hAnsi="Serif"/>
          <w:b/>
          <w:sz w:val="26"/>
          <w:szCs w:val="26"/>
          <w:lang w:val="es-ES"/>
        </w:rPr>
        <w:t>principio jurídico vinculante</w:t>
      </w:r>
      <w:r w:rsidRPr="00807A30">
        <w:rPr>
          <w:rFonts w:ascii="Serif" w:hAnsi="Serif"/>
          <w:sz w:val="26"/>
          <w:szCs w:val="26"/>
          <w:lang w:val="es-ES"/>
        </w:rPr>
        <w:t xml:space="preserve"> para el legislador y para la ap</w:t>
      </w:r>
      <w:r w:rsidR="001C4E59">
        <w:rPr>
          <w:rFonts w:ascii="Serif" w:hAnsi="Serif"/>
          <w:sz w:val="26"/>
          <w:szCs w:val="26"/>
          <w:lang w:val="es-ES"/>
        </w:rPr>
        <w:t>licación del sistema tributario</w:t>
      </w:r>
      <w:r w:rsidR="001C4E59">
        <w:rPr>
          <w:rStyle w:val="Refdenotaalpie"/>
          <w:rFonts w:ascii="Serif" w:hAnsi="Serif"/>
          <w:sz w:val="26"/>
          <w:szCs w:val="26"/>
          <w:lang w:val="es-ES"/>
        </w:rPr>
        <w:footnoteReference w:id="2"/>
      </w:r>
    </w:p>
    <w:p w:rsidR="003911E2" w:rsidRDefault="00DE7221" w:rsidP="00DE7221">
      <w:pPr>
        <w:pStyle w:val="Ttulo1"/>
        <w:numPr>
          <w:ilvl w:val="0"/>
          <w:numId w:val="6"/>
        </w:numPr>
        <w:rPr>
          <w:rFonts w:ascii="Serif" w:hAnsi="Serif"/>
          <w:sz w:val="26"/>
          <w:szCs w:val="26"/>
          <w:lang w:val="es-ES"/>
        </w:rPr>
      </w:pPr>
      <w:bookmarkStart w:id="2" w:name="_Toc235815249"/>
      <w:r>
        <w:rPr>
          <w:rFonts w:ascii="Serif" w:hAnsi="Serif"/>
          <w:sz w:val="26"/>
          <w:szCs w:val="26"/>
          <w:lang w:val="es-ES"/>
        </w:rPr>
        <w:t>Significado material</w:t>
      </w:r>
      <w:bookmarkEnd w:id="2"/>
      <w:r>
        <w:rPr>
          <w:rFonts w:ascii="Serif" w:hAnsi="Serif"/>
          <w:sz w:val="26"/>
          <w:szCs w:val="26"/>
          <w:lang w:val="es-ES"/>
        </w:rPr>
        <w:t xml:space="preserve"> </w:t>
      </w:r>
    </w:p>
    <w:p w:rsidR="00DE7221" w:rsidRPr="00DE7221" w:rsidRDefault="00DE7221" w:rsidP="00DE7221">
      <w:pPr>
        <w:pStyle w:val="Prrafodelista"/>
        <w:rPr>
          <w:lang w:val="es-ES"/>
        </w:rPr>
      </w:pPr>
    </w:p>
    <w:p w:rsidR="00AA4703" w:rsidRDefault="00A636B3" w:rsidP="00AA4703">
      <w:pPr>
        <w:spacing w:line="276" w:lineRule="auto"/>
        <w:ind w:firstLine="720"/>
        <w:jc w:val="both"/>
        <w:rPr>
          <w:rFonts w:ascii="Serif" w:hAnsi="Serif"/>
          <w:sz w:val="26"/>
          <w:szCs w:val="26"/>
          <w:lang w:val="es-ES"/>
        </w:rPr>
      </w:pPr>
      <w:r w:rsidRPr="00807A30">
        <w:rPr>
          <w:rFonts w:ascii="Serif" w:hAnsi="Serif"/>
          <w:sz w:val="26"/>
          <w:szCs w:val="26"/>
          <w:lang w:val="es-ES"/>
        </w:rPr>
        <w:t xml:space="preserve">La jurisprudencia explica que </w:t>
      </w:r>
      <w:r w:rsidRPr="00DE7221">
        <w:rPr>
          <w:rFonts w:ascii="Serif" w:hAnsi="Serif"/>
          <w:b/>
          <w:sz w:val="26"/>
          <w:szCs w:val="26"/>
          <w:lang w:val="es-ES"/>
        </w:rPr>
        <w:t>la capacidad económica</w:t>
      </w:r>
      <w:r w:rsidRPr="00807A30">
        <w:rPr>
          <w:rFonts w:ascii="Serif" w:hAnsi="Serif"/>
          <w:sz w:val="26"/>
          <w:szCs w:val="26"/>
          <w:lang w:val="es-ES"/>
        </w:rPr>
        <w:t xml:space="preserve"> consiste en una </w:t>
      </w:r>
      <w:r w:rsidRPr="00807A30">
        <w:rPr>
          <w:rFonts w:ascii="Serif" w:hAnsi="Serif"/>
          <w:b/>
          <w:sz w:val="26"/>
          <w:szCs w:val="26"/>
          <w:lang w:val="es-ES"/>
        </w:rPr>
        <w:t>manifestación de riqueza</w:t>
      </w:r>
      <w:r w:rsidRPr="00807A30">
        <w:rPr>
          <w:rFonts w:ascii="Serif" w:hAnsi="Serif"/>
          <w:sz w:val="26"/>
          <w:szCs w:val="26"/>
          <w:lang w:val="es-ES"/>
        </w:rPr>
        <w:t xml:space="preserve">, ya sea </w:t>
      </w:r>
      <w:r w:rsidRPr="00807A30">
        <w:rPr>
          <w:rFonts w:ascii="Serif" w:hAnsi="Serif"/>
          <w:b/>
          <w:sz w:val="26"/>
          <w:szCs w:val="26"/>
          <w:lang w:val="es-ES"/>
        </w:rPr>
        <w:t>real o potencial</w:t>
      </w:r>
      <w:r w:rsidR="00DE7221">
        <w:rPr>
          <w:rFonts w:ascii="Serif" w:hAnsi="Serif"/>
          <w:sz w:val="26"/>
          <w:szCs w:val="26"/>
          <w:lang w:val="es-ES"/>
        </w:rPr>
        <w:t xml:space="preserve">. Tiene sus vínculos </w:t>
      </w:r>
      <w:r w:rsidRPr="00807A30">
        <w:rPr>
          <w:rFonts w:ascii="Serif" w:hAnsi="Serif"/>
          <w:sz w:val="26"/>
          <w:szCs w:val="26"/>
          <w:lang w:val="es-ES"/>
        </w:rPr>
        <w:t xml:space="preserve">con </w:t>
      </w:r>
      <w:r w:rsidRPr="00807A30">
        <w:rPr>
          <w:rFonts w:ascii="Serif" w:hAnsi="Serif"/>
          <w:sz w:val="26"/>
          <w:szCs w:val="26"/>
          <w:lang w:val="es-ES"/>
        </w:rPr>
        <w:lastRenderedPageBreak/>
        <w:t xml:space="preserve">indicadores clásicos de riqueza como la </w:t>
      </w:r>
      <w:r w:rsidRPr="00AA4703">
        <w:rPr>
          <w:rFonts w:ascii="Serif" w:hAnsi="Serif"/>
          <w:sz w:val="26"/>
          <w:szCs w:val="26"/>
          <w:lang w:val="es-ES"/>
        </w:rPr>
        <w:t>renta, el patrimonio y el consumo</w:t>
      </w:r>
      <w:r w:rsidR="00AA4703">
        <w:rPr>
          <w:rStyle w:val="Refdenotaalpie"/>
          <w:rFonts w:ascii="Serif" w:hAnsi="Serif"/>
          <w:sz w:val="26"/>
          <w:szCs w:val="26"/>
          <w:lang w:val="es-ES"/>
        </w:rPr>
        <w:footnoteReference w:id="3"/>
      </w:r>
      <w:r w:rsidR="00AA4703">
        <w:rPr>
          <w:rFonts w:ascii="Serif" w:hAnsi="Serif"/>
          <w:sz w:val="26"/>
          <w:szCs w:val="26"/>
          <w:lang w:val="es-ES"/>
        </w:rPr>
        <w:t>, lo cual implica en términos sencillos que:</w:t>
      </w:r>
    </w:p>
    <w:p w:rsidR="00EE1F1A" w:rsidRDefault="000D4BD7" w:rsidP="00EE1F1A">
      <w:pPr>
        <w:pStyle w:val="Prrafodelista"/>
        <w:numPr>
          <w:ilvl w:val="0"/>
          <w:numId w:val="7"/>
        </w:numPr>
        <w:spacing w:line="276" w:lineRule="auto"/>
        <w:jc w:val="both"/>
        <w:rPr>
          <w:rFonts w:ascii="Serif" w:hAnsi="Serif"/>
          <w:sz w:val="26"/>
          <w:szCs w:val="26"/>
          <w:lang w:val="es-ES"/>
        </w:rPr>
      </w:pPr>
      <w:r w:rsidRPr="00AA4703">
        <w:rPr>
          <w:rFonts w:ascii="Serif" w:hAnsi="Serif"/>
          <w:b/>
          <w:sz w:val="26"/>
          <w:szCs w:val="26"/>
          <w:lang w:val="es-ES"/>
        </w:rPr>
        <w:t>S</w:t>
      </w:r>
      <w:r w:rsidR="00A636B3" w:rsidRPr="00AA4703">
        <w:rPr>
          <w:rFonts w:ascii="Serif" w:hAnsi="Serif"/>
          <w:b/>
          <w:sz w:val="26"/>
          <w:szCs w:val="26"/>
          <w:lang w:val="es-ES"/>
        </w:rPr>
        <w:t>olo puede exigirse un tributo si hay alguna manifestación de riqueza</w:t>
      </w:r>
      <w:r w:rsidR="00AA4703">
        <w:rPr>
          <w:rFonts w:ascii="Serif" w:hAnsi="Serif"/>
          <w:b/>
          <w:sz w:val="26"/>
          <w:szCs w:val="26"/>
          <w:lang w:val="es-ES"/>
        </w:rPr>
        <w:t xml:space="preserve">: </w:t>
      </w:r>
      <w:r w:rsidR="00AA4703">
        <w:rPr>
          <w:rFonts w:ascii="Serif" w:hAnsi="Serif"/>
          <w:sz w:val="26"/>
          <w:szCs w:val="26"/>
          <w:lang w:val="es-ES"/>
        </w:rPr>
        <w:t xml:space="preserve">eso explica los motivos por los cuales mediante </w:t>
      </w:r>
      <w:r w:rsidR="00A636B3" w:rsidRPr="00EE1F1A">
        <w:rPr>
          <w:rFonts w:ascii="Serif" w:hAnsi="Serif"/>
          <w:sz w:val="26"/>
          <w:szCs w:val="26"/>
          <w:lang w:val="es-ES"/>
        </w:rPr>
        <w:t>Sentencia 26/2017, de 16 de febrero</w:t>
      </w:r>
      <w:r w:rsidR="00AA4703" w:rsidRPr="00EE1F1A">
        <w:rPr>
          <w:rFonts w:ascii="Serif" w:hAnsi="Serif"/>
          <w:sz w:val="26"/>
          <w:szCs w:val="26"/>
          <w:lang w:val="es-ES"/>
        </w:rPr>
        <w:t>, el Tribunal Constitucional, en defensa de</w:t>
      </w:r>
      <w:r w:rsidR="00EE1F1A" w:rsidRPr="00EE1F1A">
        <w:rPr>
          <w:rFonts w:ascii="Serif" w:hAnsi="Serif"/>
          <w:sz w:val="26"/>
          <w:szCs w:val="26"/>
          <w:lang w:val="es-ES"/>
        </w:rPr>
        <w:t>l principio de capacidad económica y prohibición de conficastoriedad, declara la nulidad de los preceptos de la Norma Foral 16/1989, de 5 de julio, del impuesto sobre el incremento del valor de los terrenos de naturaleza urbana del territorio histórico de Gipuzkoa; en tanto someten a tributación situaciones de inexistencia de incrementos de valor de los terrenos de naturaleza urbana.</w:t>
      </w:r>
    </w:p>
    <w:p w:rsidR="00A636B3" w:rsidRPr="00EE1F1A" w:rsidRDefault="00A636B3" w:rsidP="00A636B3">
      <w:pPr>
        <w:pStyle w:val="Prrafodelista"/>
        <w:spacing w:line="276" w:lineRule="auto"/>
        <w:jc w:val="both"/>
        <w:rPr>
          <w:rFonts w:ascii="Serif" w:hAnsi="Serif"/>
          <w:sz w:val="26"/>
          <w:szCs w:val="26"/>
          <w:lang w:val="es-ES"/>
        </w:rPr>
      </w:pPr>
    </w:p>
    <w:p w:rsidR="00A636B3" w:rsidRPr="00A636B3" w:rsidRDefault="000D4BD7" w:rsidP="00A636B3">
      <w:pPr>
        <w:pStyle w:val="Prrafodelista"/>
        <w:numPr>
          <w:ilvl w:val="0"/>
          <w:numId w:val="7"/>
        </w:numPr>
        <w:spacing w:line="276" w:lineRule="auto"/>
        <w:jc w:val="both"/>
        <w:rPr>
          <w:rFonts w:ascii="Serif" w:hAnsi="Serif"/>
          <w:i/>
          <w:sz w:val="26"/>
          <w:szCs w:val="26"/>
          <w:lang w:val="es-ES"/>
        </w:rPr>
      </w:pPr>
      <w:r w:rsidRPr="000D4BD7">
        <w:rPr>
          <w:rFonts w:ascii="Serif" w:hAnsi="Serif"/>
          <w:b/>
          <w:sz w:val="26"/>
          <w:szCs w:val="26"/>
          <w:lang w:val="es-ES"/>
        </w:rPr>
        <w:t>N</w:t>
      </w:r>
      <w:r w:rsidR="00A636B3" w:rsidRPr="000D4BD7">
        <w:rPr>
          <w:rFonts w:ascii="Serif" w:hAnsi="Serif"/>
          <w:b/>
          <w:sz w:val="26"/>
          <w:szCs w:val="26"/>
          <w:lang w:val="es-ES"/>
        </w:rPr>
        <w:t>o se pueden gravar situaciones ficticias, inexistentes o meramente virtuales</w:t>
      </w:r>
      <w:r>
        <w:rPr>
          <w:rFonts w:ascii="Serif" w:hAnsi="Serif"/>
          <w:b/>
          <w:sz w:val="26"/>
          <w:szCs w:val="26"/>
          <w:lang w:val="es-ES"/>
        </w:rPr>
        <w:t>:</w:t>
      </w:r>
      <w:r w:rsidR="00EE1F1A">
        <w:rPr>
          <w:rFonts w:ascii="Serif" w:hAnsi="Serif"/>
          <w:b/>
          <w:sz w:val="26"/>
          <w:szCs w:val="26"/>
          <w:lang w:val="es-ES"/>
        </w:rPr>
        <w:t xml:space="preserve"> </w:t>
      </w:r>
      <w:r w:rsidR="00A636B3">
        <w:rPr>
          <w:rFonts w:ascii="Serif" w:hAnsi="Serif"/>
          <w:sz w:val="26"/>
          <w:szCs w:val="26"/>
          <w:lang w:val="es-ES"/>
        </w:rPr>
        <w:t>En un</w:t>
      </w:r>
      <w:r w:rsidR="00EE1F1A">
        <w:rPr>
          <w:rFonts w:ascii="Serif" w:hAnsi="Serif"/>
          <w:sz w:val="26"/>
          <w:szCs w:val="26"/>
          <w:lang w:val="es-ES"/>
        </w:rPr>
        <w:t xml:space="preserve"> Estado</w:t>
      </w:r>
      <w:r w:rsidR="00A636B3">
        <w:rPr>
          <w:rFonts w:ascii="Serif" w:hAnsi="Serif"/>
          <w:sz w:val="26"/>
          <w:szCs w:val="26"/>
          <w:lang w:val="es-ES"/>
        </w:rPr>
        <w:t xml:space="preserve"> social y democrático de derecho, </w:t>
      </w:r>
      <w:r w:rsidR="00EE1F1A">
        <w:rPr>
          <w:rFonts w:ascii="Serif" w:hAnsi="Serif"/>
          <w:sz w:val="26"/>
          <w:szCs w:val="26"/>
          <w:lang w:val="es-ES"/>
        </w:rPr>
        <w:t>solo</w:t>
      </w:r>
      <w:r w:rsidR="00A636B3">
        <w:rPr>
          <w:rFonts w:ascii="Serif" w:hAnsi="Serif"/>
          <w:sz w:val="26"/>
          <w:szCs w:val="26"/>
          <w:lang w:val="es-ES"/>
        </w:rPr>
        <w:t xml:space="preserve"> se</w:t>
      </w:r>
      <w:r w:rsidR="00EE1F1A">
        <w:rPr>
          <w:rFonts w:ascii="Serif" w:hAnsi="Serif"/>
          <w:sz w:val="26"/>
          <w:szCs w:val="26"/>
          <w:lang w:val="es-ES"/>
        </w:rPr>
        <w:t xml:space="preserve"> puede gravar riqueza real y efectiva</w:t>
      </w:r>
      <w:r w:rsidR="00A636B3">
        <w:rPr>
          <w:rFonts w:ascii="Serif" w:hAnsi="Serif"/>
          <w:sz w:val="26"/>
          <w:szCs w:val="26"/>
          <w:lang w:val="es-ES"/>
        </w:rPr>
        <w:t xml:space="preserve">. Ante esta premisa, hemos de entender que </w:t>
      </w:r>
      <w:r w:rsidR="00EE1F1A">
        <w:rPr>
          <w:rFonts w:ascii="Serif" w:hAnsi="Serif"/>
          <w:sz w:val="26"/>
          <w:szCs w:val="26"/>
          <w:lang w:val="es-ES"/>
        </w:rPr>
        <w:t xml:space="preserve">si una ganancia </w:t>
      </w:r>
      <w:r w:rsidR="00A636B3">
        <w:rPr>
          <w:rFonts w:ascii="Serif" w:hAnsi="Serif"/>
          <w:sz w:val="26"/>
          <w:szCs w:val="26"/>
          <w:lang w:val="es-ES"/>
        </w:rPr>
        <w:t>solo existe en el papel (por ejemplo, por inflación o ajustes contables) pero no hay un incremento real en el patrimonio del contribuyente (renta ficticia) el impuesto sería inconstitucional; asimismo, no se puede obligar a pagar sobre dinero que no se ha percibido o sobre una riqueza que no existe, en la práctica esta afirmación obliga al sistema tributario encontrar la verdad material del hecho imponible.</w:t>
      </w:r>
    </w:p>
    <w:p w:rsidR="00A636B3" w:rsidRPr="00A636B3" w:rsidRDefault="00A636B3" w:rsidP="00A636B3">
      <w:pPr>
        <w:pStyle w:val="Prrafodelista"/>
        <w:spacing w:line="276" w:lineRule="auto"/>
        <w:jc w:val="both"/>
        <w:rPr>
          <w:rFonts w:ascii="Serif" w:hAnsi="Serif"/>
          <w:i/>
          <w:sz w:val="26"/>
          <w:szCs w:val="26"/>
          <w:lang w:val="es-ES"/>
        </w:rPr>
      </w:pPr>
    </w:p>
    <w:p w:rsidR="00A636B3" w:rsidRPr="00BD6124" w:rsidRDefault="000D4BD7" w:rsidP="00BD6124">
      <w:pPr>
        <w:pStyle w:val="Prrafodelista"/>
        <w:numPr>
          <w:ilvl w:val="0"/>
          <w:numId w:val="7"/>
        </w:numPr>
        <w:spacing w:line="276" w:lineRule="auto"/>
        <w:jc w:val="both"/>
        <w:rPr>
          <w:rFonts w:ascii="Serif" w:hAnsi="Serif"/>
          <w:i/>
          <w:sz w:val="26"/>
          <w:szCs w:val="26"/>
          <w:lang w:val="es-ES"/>
        </w:rPr>
      </w:pPr>
      <w:r w:rsidRPr="000D4BD7">
        <w:rPr>
          <w:rFonts w:ascii="Serif" w:hAnsi="Serif"/>
          <w:b/>
          <w:sz w:val="26"/>
          <w:szCs w:val="26"/>
          <w:lang w:val="es-ES"/>
        </w:rPr>
        <w:t>B</w:t>
      </w:r>
      <w:r w:rsidR="00A636B3" w:rsidRPr="000D4BD7">
        <w:rPr>
          <w:rFonts w:ascii="Serif" w:hAnsi="Serif"/>
          <w:b/>
          <w:sz w:val="26"/>
          <w:szCs w:val="26"/>
          <w:lang w:val="es-ES"/>
        </w:rPr>
        <w:t>asta con que la capacidad económica exista en la generalidad de los casos previstos por la ley, aunque no siempre se mida con exactitud absoluta en cada supuesto</w:t>
      </w:r>
      <w:r>
        <w:rPr>
          <w:rFonts w:ascii="Serif" w:hAnsi="Serif"/>
          <w:sz w:val="26"/>
          <w:szCs w:val="26"/>
          <w:lang w:val="es-ES"/>
        </w:rPr>
        <w:t>: n</w:t>
      </w:r>
      <w:r w:rsidR="00BD6124">
        <w:rPr>
          <w:rFonts w:ascii="Serif" w:hAnsi="Serif"/>
          <w:sz w:val="26"/>
          <w:szCs w:val="26"/>
          <w:lang w:val="es-ES"/>
        </w:rPr>
        <w:t xml:space="preserve">os hallamos ante el equilibrio entre la justicia tributaria y la eficacia administrativa, en donde, si bien la ley no está obligada a ser una balanza de precisión matemática infalible para cada contribuyente individual en cada momento, sin embargo se permite que el legislador diseñe impuestos basados en situaciones que demuestran riqueza </w:t>
      </w:r>
      <w:r w:rsidR="00BD6124">
        <w:rPr>
          <w:rFonts w:ascii="Serif" w:hAnsi="Serif"/>
          <w:sz w:val="26"/>
          <w:szCs w:val="26"/>
          <w:lang w:val="es-ES"/>
        </w:rPr>
        <w:lastRenderedPageBreak/>
        <w:t>(como el consumo o la propiedad), lo que permite al sistema funcionar sin colapsar intentando medir cada céntimo de forma personalizada.</w:t>
      </w:r>
    </w:p>
    <w:p w:rsidR="003911E2" w:rsidRPr="00807A30" w:rsidRDefault="00A636B3" w:rsidP="00BD6124">
      <w:pPr>
        <w:pStyle w:val="Ttulo1"/>
        <w:numPr>
          <w:ilvl w:val="0"/>
          <w:numId w:val="6"/>
        </w:numPr>
        <w:rPr>
          <w:rFonts w:ascii="Serif" w:hAnsi="Serif"/>
          <w:sz w:val="26"/>
          <w:szCs w:val="26"/>
          <w:lang w:val="es-ES"/>
        </w:rPr>
      </w:pPr>
      <w:bookmarkStart w:id="3" w:name="_Toc235815250"/>
      <w:r w:rsidRPr="00807A30">
        <w:rPr>
          <w:rFonts w:ascii="Serif" w:hAnsi="Serif"/>
          <w:sz w:val="26"/>
          <w:szCs w:val="26"/>
          <w:lang w:val="es-ES"/>
        </w:rPr>
        <w:t>Doble dimensión: fundamento y medida</w:t>
      </w:r>
      <w:bookmarkEnd w:id="3"/>
    </w:p>
    <w:p w:rsidR="00BD6124" w:rsidRPr="008A5FE2" w:rsidRDefault="00A636B3" w:rsidP="00A60995">
      <w:pPr>
        <w:pStyle w:val="Ttulo2"/>
        <w:numPr>
          <w:ilvl w:val="0"/>
          <w:numId w:val="9"/>
        </w:numPr>
        <w:spacing w:line="276" w:lineRule="auto"/>
        <w:jc w:val="both"/>
        <w:rPr>
          <w:rFonts w:ascii="Serif" w:hAnsi="Serif"/>
          <w:b w:val="0"/>
          <w:sz w:val="26"/>
          <w:szCs w:val="26"/>
          <w:lang w:val="es-ES"/>
        </w:rPr>
      </w:pPr>
      <w:bookmarkStart w:id="4" w:name="_Toc235815251"/>
      <w:r w:rsidRPr="00BD6124">
        <w:rPr>
          <w:rFonts w:ascii="Serif" w:hAnsi="Serif"/>
          <w:sz w:val="26"/>
          <w:szCs w:val="26"/>
          <w:lang w:val="es-ES"/>
        </w:rPr>
        <w:t>Capacidad económica como fundamento del tributo</w:t>
      </w:r>
      <w:r w:rsidR="00BD6124" w:rsidRPr="00BD6124">
        <w:rPr>
          <w:rFonts w:ascii="Serif" w:hAnsi="Serif"/>
          <w:sz w:val="26"/>
          <w:szCs w:val="26"/>
          <w:lang w:val="es-ES"/>
        </w:rPr>
        <w:t xml:space="preserve">: </w:t>
      </w:r>
      <w:r w:rsidR="00BD6124" w:rsidRPr="00BD6124">
        <w:rPr>
          <w:rFonts w:ascii="Serif" w:hAnsi="Serif"/>
          <w:b w:val="0"/>
          <w:sz w:val="26"/>
          <w:szCs w:val="26"/>
          <w:lang w:val="es-ES"/>
        </w:rPr>
        <w:t>e</w:t>
      </w:r>
      <w:r w:rsidRPr="00BD6124">
        <w:rPr>
          <w:rFonts w:ascii="Serif" w:hAnsi="Serif"/>
          <w:b w:val="0"/>
          <w:sz w:val="26"/>
          <w:szCs w:val="26"/>
          <w:lang w:val="es-ES"/>
        </w:rPr>
        <w:t>s la exigencia básica de que el</w:t>
      </w:r>
      <w:r w:rsidR="00BD6124" w:rsidRPr="00BD6124">
        <w:rPr>
          <w:rFonts w:ascii="Serif" w:hAnsi="Serif"/>
          <w:b w:val="0"/>
          <w:sz w:val="26"/>
          <w:szCs w:val="26"/>
          <w:lang w:val="es-ES"/>
        </w:rPr>
        <w:t xml:space="preserve"> hecho imponible revele riqueza, por consiguiente, </w:t>
      </w:r>
      <w:r w:rsidRPr="00BD6124">
        <w:rPr>
          <w:rFonts w:ascii="Serif" w:hAnsi="Serif"/>
          <w:b w:val="0"/>
          <w:sz w:val="26"/>
          <w:szCs w:val="26"/>
          <w:lang w:val="es-ES"/>
        </w:rPr>
        <w:br/>
        <w:t>cualquier tributo debe recaer sobre un presupuesto de hecho que sea expresivo de capacidad económica</w:t>
      </w:r>
      <w:r w:rsidR="00BD6124" w:rsidRPr="00BD6124">
        <w:rPr>
          <w:rFonts w:ascii="Serif" w:hAnsi="Serif"/>
          <w:b w:val="0"/>
          <w:sz w:val="26"/>
          <w:szCs w:val="26"/>
          <w:lang w:val="es-ES"/>
        </w:rPr>
        <w:t>.</w:t>
      </w:r>
      <w:r w:rsidRPr="00BD6124">
        <w:rPr>
          <w:rFonts w:ascii="Serif" w:hAnsi="Serif"/>
          <w:sz w:val="26"/>
          <w:szCs w:val="26"/>
          <w:lang w:val="es-ES"/>
        </w:rPr>
        <w:t xml:space="preserve"> </w:t>
      </w:r>
      <w:r w:rsidRPr="008A5FE2">
        <w:rPr>
          <w:rFonts w:ascii="Serif" w:hAnsi="Serif"/>
          <w:b w:val="0"/>
          <w:sz w:val="26"/>
          <w:szCs w:val="26"/>
          <w:lang w:val="es-ES"/>
        </w:rPr>
        <w:t>Esto implica que el legislador no puede crear tributos sobre hechos que no revelen riqueza real o potencial</w:t>
      </w:r>
      <w:r w:rsidR="008A5FE2">
        <w:rPr>
          <w:rFonts w:ascii="Serif" w:hAnsi="Serif"/>
          <w:b w:val="0"/>
          <w:sz w:val="26"/>
          <w:szCs w:val="26"/>
          <w:lang w:val="es-ES"/>
        </w:rPr>
        <w:t>.</w:t>
      </w:r>
      <w:bookmarkEnd w:id="4"/>
    </w:p>
    <w:p w:rsidR="003911E2" w:rsidRPr="008A5FE2" w:rsidRDefault="00A636B3" w:rsidP="007022CA">
      <w:pPr>
        <w:pStyle w:val="Ttulo2"/>
        <w:numPr>
          <w:ilvl w:val="0"/>
          <w:numId w:val="9"/>
        </w:numPr>
        <w:spacing w:line="276" w:lineRule="auto"/>
        <w:jc w:val="both"/>
        <w:rPr>
          <w:rFonts w:ascii="Serif" w:hAnsi="Serif"/>
          <w:b w:val="0"/>
          <w:sz w:val="26"/>
          <w:szCs w:val="26"/>
          <w:lang w:val="es-ES"/>
        </w:rPr>
      </w:pPr>
      <w:bookmarkStart w:id="5" w:name="_Toc235815252"/>
      <w:r w:rsidRPr="008A5FE2">
        <w:rPr>
          <w:rFonts w:ascii="Serif" w:hAnsi="Serif"/>
          <w:sz w:val="26"/>
          <w:szCs w:val="26"/>
          <w:lang w:val="es-ES"/>
        </w:rPr>
        <w:t>Capacidad económica como medida de la tributación</w:t>
      </w:r>
      <w:r w:rsidR="008A5FE2" w:rsidRPr="008A5FE2">
        <w:rPr>
          <w:rFonts w:ascii="Serif" w:hAnsi="Serif"/>
          <w:sz w:val="26"/>
          <w:szCs w:val="26"/>
          <w:lang w:val="es-ES"/>
        </w:rPr>
        <w:t xml:space="preserve">: </w:t>
      </w:r>
      <w:r w:rsidR="008A5FE2" w:rsidRPr="008A5FE2">
        <w:rPr>
          <w:rFonts w:ascii="Serif" w:hAnsi="Serif"/>
          <w:b w:val="0"/>
          <w:sz w:val="26"/>
          <w:szCs w:val="26"/>
          <w:lang w:val="es-ES"/>
        </w:rPr>
        <w:t>a</w:t>
      </w:r>
      <w:r w:rsidRPr="008A5FE2">
        <w:rPr>
          <w:rFonts w:ascii="Serif" w:hAnsi="Serif"/>
          <w:b w:val="0"/>
          <w:sz w:val="26"/>
          <w:szCs w:val="26"/>
          <w:lang w:val="es-ES"/>
        </w:rPr>
        <w:t>quí la idea ya no es solo que exista riqueza, sino que la cuantía de la obli</w:t>
      </w:r>
      <w:r w:rsidR="008A5FE2" w:rsidRPr="008A5FE2">
        <w:rPr>
          <w:rFonts w:ascii="Serif" w:hAnsi="Serif"/>
          <w:b w:val="0"/>
          <w:sz w:val="26"/>
          <w:szCs w:val="26"/>
          <w:lang w:val="es-ES"/>
        </w:rPr>
        <w:t xml:space="preserve">gación guarde relación con ella. </w:t>
      </w:r>
      <w:r w:rsidRPr="008A5FE2">
        <w:rPr>
          <w:rFonts w:ascii="Serif" w:hAnsi="Serif"/>
          <w:b w:val="0"/>
          <w:sz w:val="26"/>
          <w:szCs w:val="26"/>
          <w:lang w:val="es-ES"/>
        </w:rPr>
        <w:t>La jurisprudencia más reciente resumida en la STC 175/2025 señala que esta segunda vertiente también se proyecta sobre cada tributo singularmente considerado, no solo sobre el sistema tributario en conjunto, aunque no con la misma intensidad en todas las figuras tributarias</w:t>
      </w:r>
      <w:r w:rsidR="008A5FE2">
        <w:rPr>
          <w:rFonts w:ascii="Serif" w:hAnsi="Serif"/>
          <w:b w:val="0"/>
          <w:sz w:val="26"/>
          <w:szCs w:val="26"/>
          <w:lang w:val="es-ES"/>
        </w:rPr>
        <w:t>;</w:t>
      </w:r>
      <w:r w:rsidRPr="008A5FE2">
        <w:rPr>
          <w:rFonts w:ascii="Serif" w:hAnsi="Serif"/>
          <w:sz w:val="26"/>
          <w:szCs w:val="26"/>
          <w:lang w:val="es-ES"/>
        </w:rPr>
        <w:t xml:space="preserve"> </w:t>
      </w:r>
      <w:r w:rsidR="008A5FE2">
        <w:rPr>
          <w:rFonts w:ascii="Serif" w:hAnsi="Serif"/>
          <w:b w:val="0"/>
          <w:sz w:val="26"/>
          <w:szCs w:val="26"/>
          <w:lang w:val="es-ES"/>
        </w:rPr>
        <w:t>en consecuencia, l</w:t>
      </w:r>
      <w:r w:rsidRPr="008A5FE2">
        <w:rPr>
          <w:rFonts w:ascii="Serif" w:hAnsi="Serif"/>
          <w:b w:val="0"/>
          <w:sz w:val="26"/>
          <w:szCs w:val="26"/>
          <w:lang w:val="es-ES"/>
        </w:rPr>
        <w:t>a base imponible, como “magnitud dineraria o de otra naturaleza que resulta de la medición o valoración del hecho imponible”, es precisamente uno de los instrumentos técnicos a través de los cuales se refleja esa capacidad económica</w:t>
      </w:r>
      <w:r w:rsidR="008A5FE2" w:rsidRPr="008A5FE2">
        <w:rPr>
          <w:rFonts w:ascii="Serif" w:hAnsi="Serif"/>
          <w:b w:val="0"/>
          <w:sz w:val="26"/>
          <w:szCs w:val="26"/>
          <w:lang w:val="es-ES"/>
        </w:rPr>
        <w:t>.</w:t>
      </w:r>
      <w:bookmarkEnd w:id="5"/>
    </w:p>
    <w:p w:rsidR="003911E2" w:rsidRPr="008A5FE2" w:rsidRDefault="008A5FE2" w:rsidP="008A5FE2">
      <w:pPr>
        <w:pStyle w:val="Ttulo1"/>
        <w:numPr>
          <w:ilvl w:val="0"/>
          <w:numId w:val="6"/>
        </w:numPr>
        <w:rPr>
          <w:rFonts w:ascii="Serif" w:hAnsi="Serif"/>
          <w:sz w:val="26"/>
          <w:szCs w:val="26"/>
          <w:lang w:val="es-ES"/>
        </w:rPr>
      </w:pPr>
      <w:bookmarkStart w:id="6" w:name="_Toc235815253"/>
      <w:r>
        <w:rPr>
          <w:rFonts w:ascii="Serif" w:hAnsi="Serif"/>
          <w:sz w:val="26"/>
          <w:szCs w:val="26"/>
          <w:lang w:val="es-ES"/>
        </w:rPr>
        <w:t xml:space="preserve">Aspectos prohibidos por </w:t>
      </w:r>
      <w:r w:rsidR="00A636B3" w:rsidRPr="00807A30">
        <w:rPr>
          <w:rFonts w:ascii="Serif" w:hAnsi="Serif"/>
          <w:sz w:val="26"/>
          <w:szCs w:val="26"/>
          <w:lang w:val="es-ES"/>
        </w:rPr>
        <w:t>e</w:t>
      </w:r>
      <w:r>
        <w:rPr>
          <w:rFonts w:ascii="Serif" w:hAnsi="Serif"/>
          <w:sz w:val="26"/>
          <w:szCs w:val="26"/>
          <w:lang w:val="es-ES"/>
        </w:rPr>
        <w:t>l</w:t>
      </w:r>
      <w:r w:rsidR="00A636B3" w:rsidRPr="00807A30">
        <w:rPr>
          <w:rFonts w:ascii="Serif" w:hAnsi="Serif"/>
          <w:sz w:val="26"/>
          <w:szCs w:val="26"/>
          <w:lang w:val="es-ES"/>
        </w:rPr>
        <w:t xml:space="preserve"> principio</w:t>
      </w:r>
      <w:r>
        <w:rPr>
          <w:rFonts w:ascii="Serif" w:hAnsi="Serif"/>
          <w:sz w:val="26"/>
          <w:szCs w:val="26"/>
          <w:lang w:val="es-ES"/>
        </w:rPr>
        <w:t xml:space="preserve"> de capacidad económica</w:t>
      </w:r>
      <w:bookmarkEnd w:id="6"/>
      <w:r w:rsidRPr="008A5FE2">
        <w:rPr>
          <w:rFonts w:ascii="Serif" w:hAnsi="Serif"/>
          <w:sz w:val="26"/>
          <w:szCs w:val="26"/>
          <w:lang w:val="es-ES"/>
        </w:rPr>
        <w:t xml:space="preserve"> </w:t>
      </w:r>
    </w:p>
    <w:p w:rsidR="008A5FE2" w:rsidRPr="008A5FE2" w:rsidRDefault="008A5FE2" w:rsidP="008A5FE2">
      <w:pPr>
        <w:pStyle w:val="Prrafodelista"/>
        <w:spacing w:line="276" w:lineRule="auto"/>
        <w:jc w:val="both"/>
        <w:rPr>
          <w:rFonts w:ascii="Serif" w:hAnsi="Serif"/>
          <w:sz w:val="26"/>
          <w:szCs w:val="26"/>
          <w:lang w:val="es-ES"/>
        </w:rPr>
      </w:pPr>
    </w:p>
    <w:p w:rsidR="008A5FE2" w:rsidRPr="008A5FE2" w:rsidRDefault="00A636B3" w:rsidP="008A5FE2">
      <w:pPr>
        <w:pStyle w:val="Prrafodelista"/>
        <w:numPr>
          <w:ilvl w:val="0"/>
          <w:numId w:val="10"/>
        </w:numPr>
        <w:spacing w:line="276" w:lineRule="auto"/>
        <w:jc w:val="both"/>
        <w:rPr>
          <w:rFonts w:ascii="Serif" w:hAnsi="Serif"/>
          <w:sz w:val="26"/>
          <w:szCs w:val="26"/>
          <w:lang w:val="es-ES"/>
        </w:rPr>
      </w:pPr>
      <w:r w:rsidRPr="008A5FE2">
        <w:rPr>
          <w:rFonts w:ascii="Serif" w:hAnsi="Serif"/>
          <w:sz w:val="26"/>
          <w:szCs w:val="26"/>
          <w:lang w:val="es-ES"/>
        </w:rPr>
        <w:t>Gravar riqueza inexistente</w:t>
      </w:r>
      <w:r w:rsidR="008A5FE2" w:rsidRPr="008A5FE2">
        <w:rPr>
          <w:rFonts w:ascii="Serif" w:hAnsi="Serif"/>
          <w:sz w:val="26"/>
          <w:szCs w:val="26"/>
          <w:lang w:val="es-ES"/>
        </w:rPr>
        <w:t>.</w:t>
      </w:r>
    </w:p>
    <w:p w:rsidR="008A5FE2" w:rsidRDefault="00A636B3" w:rsidP="008A5FE2">
      <w:pPr>
        <w:pStyle w:val="Prrafodelista"/>
        <w:numPr>
          <w:ilvl w:val="0"/>
          <w:numId w:val="10"/>
        </w:numPr>
        <w:spacing w:line="276" w:lineRule="auto"/>
        <w:jc w:val="both"/>
        <w:rPr>
          <w:rFonts w:ascii="Serif" w:hAnsi="Serif"/>
          <w:sz w:val="26"/>
          <w:szCs w:val="26"/>
          <w:lang w:val="es-ES"/>
        </w:rPr>
      </w:pPr>
      <w:r w:rsidRPr="008A5FE2">
        <w:rPr>
          <w:rFonts w:ascii="Serif" w:hAnsi="Serif"/>
          <w:sz w:val="26"/>
          <w:szCs w:val="26"/>
          <w:lang w:val="es-ES"/>
        </w:rPr>
        <w:t>Hacer depender la tributación de situaciones que no expresan riqueza</w:t>
      </w:r>
      <w:r w:rsidR="008A5FE2" w:rsidRPr="008A5FE2">
        <w:rPr>
          <w:rFonts w:ascii="Serif" w:hAnsi="Serif"/>
          <w:sz w:val="26"/>
          <w:szCs w:val="26"/>
          <w:lang w:val="es-ES"/>
        </w:rPr>
        <w:t>.</w:t>
      </w:r>
    </w:p>
    <w:p w:rsidR="008A5FE2" w:rsidRDefault="00A636B3" w:rsidP="007022CA">
      <w:pPr>
        <w:pStyle w:val="Prrafodelista"/>
        <w:numPr>
          <w:ilvl w:val="0"/>
          <w:numId w:val="10"/>
        </w:numPr>
        <w:spacing w:line="276" w:lineRule="auto"/>
        <w:jc w:val="both"/>
        <w:rPr>
          <w:rFonts w:ascii="Serif" w:hAnsi="Serif"/>
          <w:sz w:val="26"/>
          <w:szCs w:val="26"/>
          <w:lang w:val="es-ES"/>
        </w:rPr>
      </w:pPr>
      <w:r w:rsidRPr="008A5FE2">
        <w:rPr>
          <w:rFonts w:ascii="Serif" w:hAnsi="Serif"/>
          <w:sz w:val="26"/>
          <w:szCs w:val="26"/>
          <w:lang w:val="es-ES"/>
        </w:rPr>
        <w:t xml:space="preserve">Cuantificar el tributo de modo ajeno a la realidad económica gravada, </w:t>
      </w:r>
      <w:r w:rsidR="008A5FE2">
        <w:rPr>
          <w:rFonts w:ascii="Serif" w:hAnsi="Serif"/>
          <w:sz w:val="26"/>
          <w:szCs w:val="26"/>
          <w:lang w:val="es-ES"/>
        </w:rPr>
        <w:t xml:space="preserve">toda vez que </w:t>
      </w:r>
      <w:r w:rsidRPr="008A5FE2">
        <w:rPr>
          <w:rFonts w:ascii="Serif" w:hAnsi="Serif"/>
          <w:sz w:val="26"/>
          <w:szCs w:val="26"/>
          <w:lang w:val="es-ES"/>
        </w:rPr>
        <w:t>genere una carga desconectada de la capacidad realmente puesta de manifiesto</w:t>
      </w:r>
      <w:r w:rsidR="008A5FE2">
        <w:rPr>
          <w:rFonts w:ascii="Serif" w:hAnsi="Serif"/>
          <w:sz w:val="26"/>
          <w:szCs w:val="26"/>
          <w:lang w:val="es-ES"/>
        </w:rPr>
        <w:t xml:space="preserve">. </w:t>
      </w:r>
    </w:p>
    <w:p w:rsidR="00834FBC" w:rsidRDefault="00834FBC" w:rsidP="008A5FE2">
      <w:pPr>
        <w:spacing w:line="276" w:lineRule="auto"/>
        <w:ind w:left="360"/>
        <w:jc w:val="both"/>
        <w:rPr>
          <w:rFonts w:ascii="Serif" w:hAnsi="Serif"/>
          <w:sz w:val="26"/>
          <w:szCs w:val="26"/>
          <w:lang w:val="es-ES"/>
        </w:rPr>
      </w:pPr>
    </w:p>
    <w:p w:rsidR="00DB0372" w:rsidRDefault="008A5FE2" w:rsidP="008A5FE2">
      <w:pPr>
        <w:spacing w:line="276" w:lineRule="auto"/>
        <w:ind w:left="360"/>
        <w:jc w:val="both"/>
        <w:rPr>
          <w:rFonts w:ascii="Serif" w:hAnsi="Serif"/>
          <w:sz w:val="26"/>
          <w:szCs w:val="26"/>
          <w:lang w:val="es-ES"/>
        </w:rPr>
      </w:pPr>
      <w:r>
        <w:rPr>
          <w:rFonts w:ascii="Serif" w:hAnsi="Serif"/>
          <w:sz w:val="26"/>
          <w:szCs w:val="26"/>
          <w:lang w:val="es-ES"/>
        </w:rPr>
        <w:t>De lo anterior, indicar que l</w:t>
      </w:r>
      <w:r w:rsidR="00A636B3" w:rsidRPr="008A5FE2">
        <w:rPr>
          <w:rFonts w:ascii="Serif" w:hAnsi="Serif"/>
          <w:sz w:val="26"/>
          <w:szCs w:val="26"/>
          <w:lang w:val="es-ES"/>
        </w:rPr>
        <w:t xml:space="preserve">a jurisprudencia constitucional ha declarado inconstitucionales </w:t>
      </w:r>
      <w:r>
        <w:rPr>
          <w:rFonts w:ascii="Serif" w:hAnsi="Serif"/>
          <w:sz w:val="26"/>
          <w:szCs w:val="26"/>
          <w:lang w:val="es-ES"/>
        </w:rPr>
        <w:t xml:space="preserve">ciertas normas que </w:t>
      </w:r>
      <w:r w:rsidR="00A636B3" w:rsidRPr="008A5FE2">
        <w:rPr>
          <w:rFonts w:ascii="Serif" w:hAnsi="Serif"/>
          <w:sz w:val="26"/>
          <w:szCs w:val="26"/>
          <w:lang w:val="es-ES"/>
        </w:rPr>
        <w:t xml:space="preserve">sometían a gravamen capacidades </w:t>
      </w:r>
      <w:r w:rsidR="00A636B3" w:rsidRPr="00DB0372">
        <w:rPr>
          <w:rFonts w:ascii="Serif" w:hAnsi="Serif"/>
          <w:sz w:val="26"/>
          <w:szCs w:val="26"/>
          <w:lang w:val="es-ES"/>
        </w:rPr>
        <w:lastRenderedPageBreak/>
        <w:t>económicas ficticias o producían resultados donde quien tenía menor capacidad soportaba mayor carga que quien tenía más</w:t>
      </w:r>
      <w:r w:rsidR="00DB0372">
        <w:rPr>
          <w:rFonts w:ascii="Serif" w:hAnsi="Serif"/>
          <w:sz w:val="26"/>
          <w:szCs w:val="26"/>
          <w:lang w:val="es-ES"/>
        </w:rPr>
        <w:t>.</w:t>
      </w:r>
      <w:r w:rsidR="00DB0372">
        <w:rPr>
          <w:rStyle w:val="Refdenotaalpie"/>
          <w:rFonts w:ascii="Serif" w:hAnsi="Serif"/>
          <w:sz w:val="26"/>
          <w:szCs w:val="26"/>
          <w:lang w:val="es-ES"/>
        </w:rPr>
        <w:footnoteReference w:id="4"/>
      </w:r>
      <w:r w:rsidR="00A636B3" w:rsidRPr="008A5FE2">
        <w:rPr>
          <w:rFonts w:ascii="Serif" w:hAnsi="Serif"/>
          <w:sz w:val="26"/>
          <w:szCs w:val="26"/>
          <w:lang w:val="es-ES"/>
        </w:rPr>
        <w:t xml:space="preserve"> </w:t>
      </w:r>
    </w:p>
    <w:p w:rsidR="003911E2" w:rsidRDefault="00A636B3" w:rsidP="00DB0372">
      <w:pPr>
        <w:pStyle w:val="Ttulo1"/>
        <w:numPr>
          <w:ilvl w:val="0"/>
          <w:numId w:val="6"/>
        </w:numPr>
        <w:rPr>
          <w:rFonts w:ascii="Serif" w:hAnsi="Serif"/>
          <w:sz w:val="26"/>
          <w:szCs w:val="26"/>
          <w:lang w:val="es-ES"/>
        </w:rPr>
      </w:pPr>
      <w:bookmarkStart w:id="7" w:name="_Toc235815254"/>
      <w:r w:rsidRPr="00807A30">
        <w:rPr>
          <w:rFonts w:ascii="Serif" w:hAnsi="Serif"/>
          <w:sz w:val="26"/>
          <w:szCs w:val="26"/>
          <w:lang w:val="es-ES"/>
        </w:rPr>
        <w:t>No exige perfección absoluta</w:t>
      </w:r>
      <w:bookmarkEnd w:id="7"/>
    </w:p>
    <w:p w:rsidR="00DB0372" w:rsidRPr="00DB0372" w:rsidRDefault="00DB0372" w:rsidP="00DB0372">
      <w:pPr>
        <w:rPr>
          <w:lang w:val="es-ES"/>
        </w:rPr>
      </w:pPr>
    </w:p>
    <w:p w:rsidR="00DB0372" w:rsidRDefault="00DB0372" w:rsidP="00DB0372">
      <w:pPr>
        <w:spacing w:line="276" w:lineRule="auto"/>
        <w:ind w:firstLine="720"/>
        <w:jc w:val="both"/>
        <w:rPr>
          <w:rFonts w:ascii="Serif" w:hAnsi="Serif"/>
          <w:sz w:val="26"/>
          <w:szCs w:val="26"/>
          <w:lang w:val="es-ES"/>
        </w:rPr>
      </w:pPr>
      <w:r>
        <w:rPr>
          <w:rFonts w:ascii="Serif" w:hAnsi="Serif"/>
          <w:sz w:val="26"/>
          <w:szCs w:val="26"/>
          <w:lang w:val="es-ES"/>
        </w:rPr>
        <w:t xml:space="preserve">Se trata de un </w:t>
      </w:r>
      <w:r w:rsidR="00A636B3" w:rsidRPr="00807A30">
        <w:rPr>
          <w:rFonts w:ascii="Serif" w:hAnsi="Serif"/>
          <w:sz w:val="26"/>
          <w:szCs w:val="26"/>
          <w:lang w:val="es-ES"/>
        </w:rPr>
        <w:t>principio</w:t>
      </w:r>
      <w:r>
        <w:rPr>
          <w:rFonts w:ascii="Serif" w:hAnsi="Serif"/>
          <w:sz w:val="26"/>
          <w:szCs w:val="26"/>
          <w:lang w:val="es-ES"/>
        </w:rPr>
        <w:t xml:space="preserve"> que </w:t>
      </w:r>
      <w:r w:rsidR="00A636B3" w:rsidRPr="00DB0372">
        <w:rPr>
          <w:rFonts w:ascii="Serif" w:hAnsi="Serif"/>
          <w:sz w:val="26"/>
          <w:szCs w:val="26"/>
          <w:lang w:val="es-ES"/>
        </w:rPr>
        <w:t>no obliga</w:t>
      </w:r>
      <w:r w:rsidR="00A636B3" w:rsidRPr="00807A30">
        <w:rPr>
          <w:rFonts w:ascii="Serif" w:hAnsi="Serif"/>
          <w:sz w:val="26"/>
          <w:szCs w:val="26"/>
          <w:lang w:val="es-ES"/>
        </w:rPr>
        <w:t xml:space="preserve"> a que todo tributo refleje con exactitud matemática la r</w:t>
      </w:r>
      <w:r>
        <w:rPr>
          <w:rFonts w:ascii="Serif" w:hAnsi="Serif"/>
          <w:sz w:val="26"/>
          <w:szCs w:val="26"/>
          <w:lang w:val="es-ES"/>
        </w:rPr>
        <w:t>iqueza individual en cada caso; en este sentido, l</w:t>
      </w:r>
      <w:r w:rsidR="00A636B3" w:rsidRPr="00807A30">
        <w:rPr>
          <w:rFonts w:ascii="Serif" w:hAnsi="Serif"/>
          <w:sz w:val="26"/>
          <w:szCs w:val="26"/>
          <w:lang w:val="es-ES"/>
        </w:rPr>
        <w:t xml:space="preserve">a jurisprudencia admite que el legislador utilice técnicas objetivas o simplificadas, e incluso grave </w:t>
      </w:r>
      <w:r w:rsidR="00A636B3" w:rsidRPr="00DB0372">
        <w:rPr>
          <w:rFonts w:ascii="Serif" w:hAnsi="Serif"/>
          <w:sz w:val="26"/>
          <w:szCs w:val="26"/>
          <w:lang w:val="es-ES"/>
        </w:rPr>
        <w:t>capacidades potenciales</w:t>
      </w:r>
      <w:r w:rsidR="00A636B3" w:rsidRPr="00807A30">
        <w:rPr>
          <w:rFonts w:ascii="Serif" w:hAnsi="Serif"/>
          <w:sz w:val="26"/>
          <w:szCs w:val="26"/>
          <w:lang w:val="es-ES"/>
        </w:rPr>
        <w:t xml:space="preserve">, siempre que no termine sometiendo a tributación una </w:t>
      </w:r>
      <w:r w:rsidR="00A636B3" w:rsidRPr="00DB0372">
        <w:rPr>
          <w:rFonts w:ascii="Serif" w:hAnsi="Serif"/>
          <w:sz w:val="26"/>
          <w:szCs w:val="26"/>
          <w:lang w:val="es-ES"/>
        </w:rPr>
        <w:t>renta irreal</w:t>
      </w:r>
      <w:r>
        <w:rPr>
          <w:rFonts w:ascii="Serif" w:hAnsi="Serif"/>
          <w:sz w:val="26"/>
          <w:szCs w:val="26"/>
          <w:lang w:val="es-ES"/>
        </w:rPr>
        <w:t xml:space="preserve"> o una riqueza inexistente. Asimismo, </w:t>
      </w:r>
      <w:r w:rsidR="00A636B3" w:rsidRPr="00807A30">
        <w:rPr>
          <w:rFonts w:ascii="Serif" w:hAnsi="Serif"/>
          <w:sz w:val="26"/>
          <w:szCs w:val="26"/>
          <w:lang w:val="es-ES"/>
        </w:rPr>
        <w:t xml:space="preserve">se admite que un tributo persiga </w:t>
      </w:r>
      <w:r w:rsidR="00A636B3" w:rsidRPr="00DB0372">
        <w:rPr>
          <w:rFonts w:ascii="Serif" w:hAnsi="Serif"/>
          <w:sz w:val="26"/>
          <w:szCs w:val="26"/>
          <w:lang w:val="es-ES"/>
        </w:rPr>
        <w:t>fines extrafiscales</w:t>
      </w:r>
      <w:r w:rsidR="00A636B3" w:rsidRPr="00807A30">
        <w:rPr>
          <w:rFonts w:ascii="Serif" w:hAnsi="Serif"/>
          <w:sz w:val="26"/>
          <w:szCs w:val="26"/>
          <w:lang w:val="es-ES"/>
        </w:rPr>
        <w:t xml:space="preserve"> </w:t>
      </w:r>
      <w:r>
        <w:rPr>
          <w:rFonts w:ascii="Serif" w:hAnsi="Serif"/>
          <w:sz w:val="26"/>
          <w:szCs w:val="26"/>
          <w:lang w:val="es-ES"/>
        </w:rPr>
        <w:t>(</w:t>
      </w:r>
      <w:r w:rsidR="00A636B3" w:rsidRPr="00807A30">
        <w:rPr>
          <w:rFonts w:ascii="Serif" w:hAnsi="Serif"/>
          <w:sz w:val="26"/>
          <w:szCs w:val="26"/>
          <w:lang w:val="es-ES"/>
        </w:rPr>
        <w:t>económicos o sociales</w:t>
      </w:r>
      <w:r>
        <w:rPr>
          <w:rFonts w:ascii="Serif" w:hAnsi="Serif"/>
          <w:sz w:val="26"/>
          <w:szCs w:val="26"/>
          <w:lang w:val="es-ES"/>
        </w:rPr>
        <w:t>)</w:t>
      </w:r>
      <w:r w:rsidR="00A636B3" w:rsidRPr="00807A30">
        <w:rPr>
          <w:rFonts w:ascii="Serif" w:hAnsi="Serif"/>
          <w:sz w:val="26"/>
          <w:szCs w:val="26"/>
          <w:lang w:val="es-ES"/>
        </w:rPr>
        <w:t xml:space="preserve">, siempre que no contradiga el principio de capacidad económica </w:t>
      </w:r>
    </w:p>
    <w:p w:rsidR="003911E2" w:rsidRDefault="00A636B3" w:rsidP="00DB0372">
      <w:pPr>
        <w:pStyle w:val="Ttulo1"/>
        <w:numPr>
          <w:ilvl w:val="0"/>
          <w:numId w:val="6"/>
        </w:numPr>
        <w:rPr>
          <w:rFonts w:ascii="Serif" w:hAnsi="Serif"/>
          <w:sz w:val="26"/>
          <w:szCs w:val="26"/>
          <w:lang w:val="es-ES"/>
        </w:rPr>
      </w:pPr>
      <w:bookmarkStart w:id="8" w:name="_Toc235815255"/>
      <w:r w:rsidRPr="00807A30">
        <w:rPr>
          <w:rFonts w:ascii="Serif" w:hAnsi="Serif"/>
          <w:sz w:val="26"/>
          <w:szCs w:val="26"/>
          <w:lang w:val="es-ES"/>
        </w:rPr>
        <w:t>Relación con otros principios</w:t>
      </w:r>
      <w:bookmarkEnd w:id="8"/>
    </w:p>
    <w:p w:rsidR="00DB0372" w:rsidRPr="00DB0372" w:rsidRDefault="00DB0372" w:rsidP="00DB0372">
      <w:pPr>
        <w:rPr>
          <w:lang w:val="es-ES"/>
        </w:rPr>
      </w:pPr>
    </w:p>
    <w:p w:rsidR="0027554F" w:rsidRDefault="00A636B3" w:rsidP="0027554F">
      <w:pPr>
        <w:spacing w:line="276" w:lineRule="auto"/>
        <w:jc w:val="both"/>
        <w:rPr>
          <w:rFonts w:ascii="Serif" w:hAnsi="Serif"/>
          <w:sz w:val="26"/>
          <w:szCs w:val="26"/>
          <w:lang w:val="es-ES"/>
        </w:rPr>
      </w:pPr>
      <w:r w:rsidRPr="00807A30">
        <w:rPr>
          <w:rFonts w:ascii="Serif" w:hAnsi="Serif"/>
          <w:sz w:val="26"/>
          <w:szCs w:val="26"/>
          <w:lang w:val="es-ES"/>
        </w:rPr>
        <w:t>La capacidad económica aparece conectada con otros principios del artículo 31.1 CE</w:t>
      </w:r>
      <w:r w:rsidR="0027554F">
        <w:rPr>
          <w:rFonts w:ascii="Serif" w:hAnsi="Serif"/>
          <w:sz w:val="26"/>
          <w:szCs w:val="26"/>
          <w:lang w:val="es-ES"/>
        </w:rPr>
        <w:t xml:space="preserve"> como son</w:t>
      </w:r>
      <w:r w:rsidRPr="00807A30">
        <w:rPr>
          <w:rFonts w:ascii="Serif" w:hAnsi="Serif"/>
          <w:sz w:val="26"/>
          <w:szCs w:val="26"/>
          <w:lang w:val="es-ES"/>
        </w:rPr>
        <w:t>:</w:t>
      </w:r>
    </w:p>
    <w:p w:rsidR="0027554F" w:rsidRDefault="0027554F" w:rsidP="0027554F">
      <w:pPr>
        <w:pStyle w:val="Prrafodelista"/>
        <w:numPr>
          <w:ilvl w:val="0"/>
          <w:numId w:val="11"/>
        </w:numPr>
        <w:spacing w:line="276" w:lineRule="auto"/>
        <w:jc w:val="both"/>
        <w:rPr>
          <w:rFonts w:ascii="Serif" w:hAnsi="Serif"/>
          <w:sz w:val="26"/>
          <w:szCs w:val="26"/>
          <w:lang w:val="es-ES"/>
        </w:rPr>
      </w:pPr>
      <w:bookmarkStart w:id="9" w:name="_GoBack"/>
      <w:bookmarkEnd w:id="9"/>
      <w:r w:rsidRPr="0027554F">
        <w:rPr>
          <w:rFonts w:ascii="Serif" w:hAnsi="Serif"/>
          <w:b/>
          <w:sz w:val="26"/>
          <w:szCs w:val="26"/>
          <w:lang w:val="es-ES"/>
        </w:rPr>
        <w:t>I</w:t>
      </w:r>
      <w:r w:rsidR="00A636B3" w:rsidRPr="0027554F">
        <w:rPr>
          <w:rFonts w:ascii="Serif" w:hAnsi="Serif"/>
          <w:b/>
          <w:sz w:val="26"/>
          <w:szCs w:val="26"/>
          <w:lang w:val="es-ES"/>
        </w:rPr>
        <w:t>gualdad</w:t>
      </w:r>
      <w:r>
        <w:rPr>
          <w:rFonts w:ascii="Serif" w:hAnsi="Serif"/>
          <w:sz w:val="26"/>
          <w:szCs w:val="26"/>
          <w:lang w:val="es-ES"/>
        </w:rPr>
        <w:t xml:space="preserve">: con respecto al cual, </w:t>
      </w:r>
      <w:r w:rsidR="00A636B3" w:rsidRPr="0027554F">
        <w:rPr>
          <w:rFonts w:ascii="Serif" w:hAnsi="Serif"/>
          <w:sz w:val="26"/>
          <w:szCs w:val="26"/>
          <w:lang w:val="es-ES"/>
        </w:rPr>
        <w:t>no se debe tratar igual lo que revela riqueza d</w:t>
      </w:r>
      <w:r>
        <w:rPr>
          <w:rFonts w:ascii="Serif" w:hAnsi="Serif"/>
          <w:sz w:val="26"/>
          <w:szCs w:val="26"/>
          <w:lang w:val="es-ES"/>
        </w:rPr>
        <w:t>esigual si no hay justificación. Como caso práctico tenemos la</w:t>
      </w:r>
      <w:r w:rsidR="00A636B3" w:rsidRPr="0027554F">
        <w:rPr>
          <w:rFonts w:ascii="Serif" w:hAnsi="Serif"/>
          <w:i/>
          <w:sz w:val="26"/>
          <w:szCs w:val="26"/>
          <w:lang w:val="es-ES"/>
        </w:rPr>
        <w:t xml:space="preserve"> </w:t>
      </w:r>
      <w:r w:rsidRPr="0027554F">
        <w:rPr>
          <w:rFonts w:ascii="Serif" w:hAnsi="Serif"/>
          <w:sz w:val="26"/>
          <w:szCs w:val="26"/>
          <w:lang w:val="es-ES"/>
        </w:rPr>
        <w:t xml:space="preserve">ya mencionada </w:t>
      </w:r>
      <w:r w:rsidR="00A636B3" w:rsidRPr="0027554F">
        <w:rPr>
          <w:rFonts w:ascii="Serif" w:hAnsi="Serif"/>
          <w:sz w:val="26"/>
          <w:szCs w:val="26"/>
          <w:lang w:val="es-ES"/>
        </w:rPr>
        <w:t>STC 46/2000, de 17 de febrero de 2000</w:t>
      </w:r>
      <w:r w:rsidRPr="0027554F">
        <w:rPr>
          <w:rFonts w:ascii="Serif" w:hAnsi="Serif"/>
          <w:sz w:val="26"/>
          <w:szCs w:val="26"/>
          <w:lang w:val="es-ES"/>
        </w:rPr>
        <w:t xml:space="preserve"> que aborda la v</w:t>
      </w:r>
      <w:r w:rsidR="00A636B3" w:rsidRPr="0027554F">
        <w:rPr>
          <w:rFonts w:ascii="Serif" w:hAnsi="Serif"/>
          <w:sz w:val="26"/>
          <w:szCs w:val="26"/>
          <w:lang w:val="es-ES"/>
        </w:rPr>
        <w:t>ulneración del principio de igualdad tributaria en términos de capacidad económica</w:t>
      </w:r>
      <w:r w:rsidRPr="0027554F">
        <w:rPr>
          <w:rFonts w:ascii="Serif" w:hAnsi="Serif"/>
          <w:sz w:val="26"/>
          <w:szCs w:val="26"/>
          <w:lang w:val="es-ES"/>
        </w:rPr>
        <w:t>.</w:t>
      </w:r>
    </w:p>
    <w:p w:rsidR="0010344B" w:rsidRDefault="0027554F" w:rsidP="0010344B">
      <w:pPr>
        <w:pStyle w:val="Prrafodelista"/>
        <w:numPr>
          <w:ilvl w:val="0"/>
          <w:numId w:val="11"/>
        </w:numPr>
        <w:spacing w:line="276" w:lineRule="auto"/>
        <w:jc w:val="both"/>
        <w:rPr>
          <w:rFonts w:ascii="Serif" w:hAnsi="Serif"/>
          <w:sz w:val="26"/>
          <w:szCs w:val="26"/>
          <w:lang w:val="es-ES"/>
        </w:rPr>
      </w:pPr>
      <w:r>
        <w:rPr>
          <w:rFonts w:ascii="Serif" w:hAnsi="Serif"/>
          <w:b/>
          <w:sz w:val="26"/>
          <w:szCs w:val="26"/>
          <w:lang w:val="es-ES"/>
        </w:rPr>
        <w:t>P</w:t>
      </w:r>
      <w:r w:rsidR="00A636B3" w:rsidRPr="0027554F">
        <w:rPr>
          <w:rFonts w:ascii="Serif" w:hAnsi="Serif"/>
          <w:b/>
          <w:sz w:val="26"/>
          <w:szCs w:val="26"/>
          <w:lang w:val="es-ES"/>
        </w:rPr>
        <w:t>rogresividad</w:t>
      </w:r>
      <w:r>
        <w:rPr>
          <w:rFonts w:ascii="Serif" w:hAnsi="Serif"/>
          <w:sz w:val="26"/>
          <w:szCs w:val="26"/>
          <w:lang w:val="es-ES"/>
        </w:rPr>
        <w:t xml:space="preserve">: </w:t>
      </w:r>
      <w:r w:rsidR="0010344B">
        <w:rPr>
          <w:rFonts w:ascii="Serif" w:hAnsi="Serif"/>
          <w:sz w:val="26"/>
          <w:szCs w:val="26"/>
          <w:lang w:val="es-ES"/>
        </w:rPr>
        <w:t xml:space="preserve"> implica que el porcentaje del impuesto (tipo impositivo) aumenta a medida que crece la riqueza del contribuyente, decir, quien tiene </w:t>
      </w:r>
      <w:r w:rsidR="0010344B">
        <w:rPr>
          <w:rFonts w:ascii="Serif" w:hAnsi="Serif"/>
          <w:sz w:val="26"/>
          <w:szCs w:val="26"/>
          <w:lang w:val="es-ES"/>
        </w:rPr>
        <w:lastRenderedPageBreak/>
        <w:t xml:space="preserve">más, no solo paga más en cantidad, sino que paga un porcentaje mayor de su base económica.  </w:t>
      </w:r>
    </w:p>
    <w:p w:rsidR="003911E2" w:rsidRPr="0010344B" w:rsidRDefault="0010344B" w:rsidP="0010344B">
      <w:pPr>
        <w:pStyle w:val="Prrafodelista"/>
        <w:numPr>
          <w:ilvl w:val="0"/>
          <w:numId w:val="11"/>
        </w:numPr>
        <w:spacing w:line="276" w:lineRule="auto"/>
        <w:jc w:val="both"/>
        <w:rPr>
          <w:rFonts w:ascii="Serif" w:hAnsi="Serif"/>
          <w:sz w:val="26"/>
          <w:szCs w:val="26"/>
          <w:lang w:val="es-ES"/>
        </w:rPr>
      </w:pPr>
      <w:r w:rsidRPr="0010344B">
        <w:rPr>
          <w:rFonts w:ascii="Serif" w:hAnsi="Serif"/>
          <w:b/>
          <w:sz w:val="26"/>
          <w:szCs w:val="26"/>
          <w:lang w:val="es-ES"/>
        </w:rPr>
        <w:t>N</w:t>
      </w:r>
      <w:r w:rsidR="00A636B3" w:rsidRPr="0010344B">
        <w:rPr>
          <w:rFonts w:ascii="Serif" w:hAnsi="Serif"/>
          <w:b/>
          <w:sz w:val="26"/>
          <w:szCs w:val="26"/>
          <w:lang w:val="es-ES"/>
        </w:rPr>
        <w:t>o</w:t>
      </w:r>
      <w:r>
        <w:rPr>
          <w:rFonts w:ascii="Serif" w:hAnsi="Serif"/>
          <w:b/>
          <w:sz w:val="26"/>
          <w:szCs w:val="26"/>
          <w:lang w:val="es-ES"/>
        </w:rPr>
        <w:t xml:space="preserve"> confiscatoriedad: </w:t>
      </w:r>
      <w:r>
        <w:rPr>
          <w:rFonts w:ascii="Serif" w:hAnsi="Serif"/>
          <w:sz w:val="26"/>
          <w:szCs w:val="26"/>
          <w:lang w:val="es-ES"/>
        </w:rPr>
        <w:t xml:space="preserve">por cuanto que </w:t>
      </w:r>
      <w:r w:rsidR="00A636B3" w:rsidRPr="0010344B">
        <w:rPr>
          <w:rFonts w:ascii="Serif" w:hAnsi="Serif"/>
          <w:sz w:val="26"/>
          <w:szCs w:val="26"/>
          <w:lang w:val="es-ES"/>
        </w:rPr>
        <w:t>el tributo no puede agotar la riqueza imponible so pretexto del deber de contribuir</w:t>
      </w:r>
      <w:r w:rsidR="0027554F" w:rsidRPr="0010344B">
        <w:rPr>
          <w:rFonts w:ascii="Serif" w:hAnsi="Serif"/>
          <w:sz w:val="26"/>
          <w:szCs w:val="26"/>
          <w:lang w:val="es-ES"/>
        </w:rPr>
        <w:t>.</w:t>
      </w:r>
    </w:p>
    <w:p w:rsidR="003911E2" w:rsidRPr="00807A30" w:rsidRDefault="0010344B" w:rsidP="0010344B">
      <w:pPr>
        <w:pStyle w:val="Ttulo1"/>
        <w:numPr>
          <w:ilvl w:val="0"/>
          <w:numId w:val="6"/>
        </w:numPr>
        <w:rPr>
          <w:rFonts w:ascii="Serif" w:hAnsi="Serif"/>
          <w:sz w:val="26"/>
          <w:szCs w:val="26"/>
          <w:lang w:val="es-ES"/>
        </w:rPr>
      </w:pPr>
      <w:bookmarkStart w:id="10" w:name="_Toc235815256"/>
      <w:r>
        <w:rPr>
          <w:rFonts w:ascii="Serif" w:hAnsi="Serif"/>
          <w:sz w:val="26"/>
          <w:szCs w:val="26"/>
          <w:lang w:val="es-ES"/>
        </w:rPr>
        <w:t>Capacidad económica e</w:t>
      </w:r>
      <w:r w:rsidR="00A636B3" w:rsidRPr="00807A30">
        <w:rPr>
          <w:rFonts w:ascii="Serif" w:hAnsi="Serif"/>
          <w:sz w:val="26"/>
          <w:szCs w:val="26"/>
          <w:lang w:val="es-ES"/>
        </w:rPr>
        <w:t>n las tasas</w:t>
      </w:r>
      <w:bookmarkEnd w:id="10"/>
    </w:p>
    <w:p w:rsidR="0010344B" w:rsidRDefault="0010344B" w:rsidP="007022CA">
      <w:pPr>
        <w:spacing w:line="276" w:lineRule="auto"/>
        <w:jc w:val="both"/>
        <w:rPr>
          <w:rFonts w:ascii="Serif" w:hAnsi="Serif"/>
          <w:sz w:val="26"/>
          <w:szCs w:val="26"/>
          <w:lang w:val="es-ES"/>
        </w:rPr>
      </w:pPr>
    </w:p>
    <w:p w:rsidR="0010344B" w:rsidRDefault="0010344B" w:rsidP="0010344B">
      <w:pPr>
        <w:spacing w:line="276" w:lineRule="auto"/>
        <w:ind w:firstLine="360"/>
        <w:jc w:val="both"/>
        <w:rPr>
          <w:rFonts w:ascii="Serif" w:hAnsi="Serif"/>
          <w:sz w:val="26"/>
          <w:szCs w:val="26"/>
          <w:lang w:val="es-ES"/>
        </w:rPr>
      </w:pPr>
      <w:r>
        <w:rPr>
          <w:rFonts w:ascii="Serif" w:hAnsi="Serif"/>
          <w:sz w:val="26"/>
          <w:szCs w:val="26"/>
          <w:lang w:val="es-ES"/>
        </w:rPr>
        <w:t xml:space="preserve">Este principio, y en lo que respecta a la fijación de tasas, </w:t>
      </w:r>
      <w:r w:rsidR="00A636B3" w:rsidRPr="00807A30">
        <w:rPr>
          <w:rFonts w:ascii="Serif" w:hAnsi="Serif"/>
          <w:sz w:val="26"/>
          <w:szCs w:val="26"/>
          <w:lang w:val="es-ES"/>
        </w:rPr>
        <w:t xml:space="preserve">se tendrá en cuenta, cuando lo permitan </w:t>
      </w:r>
      <w:r>
        <w:rPr>
          <w:rFonts w:ascii="Serif" w:hAnsi="Serif"/>
          <w:sz w:val="26"/>
          <w:szCs w:val="26"/>
          <w:lang w:val="es-ES"/>
        </w:rPr>
        <w:t>las características del tributo y</w:t>
      </w:r>
      <w:r w:rsidR="00A636B3" w:rsidRPr="00807A30">
        <w:rPr>
          <w:rFonts w:ascii="Serif" w:hAnsi="Serif"/>
          <w:sz w:val="26"/>
          <w:szCs w:val="26"/>
          <w:lang w:val="es-ES"/>
        </w:rPr>
        <w:t xml:space="preserve"> la capacidad de las personas que deben satisfacerla</w:t>
      </w:r>
      <w:r>
        <w:rPr>
          <w:rFonts w:ascii="Serif" w:hAnsi="Serif"/>
          <w:sz w:val="26"/>
          <w:szCs w:val="26"/>
          <w:lang w:val="es-ES"/>
        </w:rPr>
        <w:t xml:space="preserve">s. </w:t>
      </w:r>
      <w:r w:rsidR="00A636B3" w:rsidRPr="00807A30">
        <w:rPr>
          <w:rFonts w:ascii="Serif" w:hAnsi="Serif"/>
          <w:sz w:val="26"/>
          <w:szCs w:val="26"/>
          <w:lang w:val="es-ES"/>
        </w:rPr>
        <w:t xml:space="preserve">Esto muestra que la capacidad económica </w:t>
      </w:r>
      <w:r w:rsidR="00A636B3" w:rsidRPr="0010344B">
        <w:rPr>
          <w:rFonts w:ascii="Serif" w:hAnsi="Serif"/>
          <w:sz w:val="26"/>
          <w:szCs w:val="26"/>
          <w:lang w:val="es-ES"/>
        </w:rPr>
        <w:t>también cuenta en las tasas,</w:t>
      </w:r>
      <w:r w:rsidR="00A636B3" w:rsidRPr="00807A30">
        <w:rPr>
          <w:rFonts w:ascii="Serif" w:hAnsi="Serif"/>
          <w:sz w:val="26"/>
          <w:szCs w:val="26"/>
          <w:lang w:val="es-ES"/>
        </w:rPr>
        <w:t xml:space="preserve"> pero su papel puede ser menos intenso que en los impuestos, dependien</w:t>
      </w:r>
      <w:r>
        <w:rPr>
          <w:rFonts w:ascii="Serif" w:hAnsi="Serif"/>
          <w:sz w:val="26"/>
          <w:szCs w:val="26"/>
          <w:lang w:val="es-ES"/>
        </w:rPr>
        <w:t>do de la estructura del tributo.</w:t>
      </w:r>
    </w:p>
    <w:p w:rsidR="0010344B" w:rsidRPr="00807A30" w:rsidRDefault="0010344B" w:rsidP="0010344B">
      <w:pPr>
        <w:pStyle w:val="Ttulo1"/>
        <w:jc w:val="both"/>
        <w:rPr>
          <w:rFonts w:ascii="Serif" w:eastAsia="Times New Roman" w:hAnsi="Serif" w:cs="Times New Roman"/>
          <w:color w:val="303030"/>
          <w:sz w:val="26"/>
          <w:szCs w:val="26"/>
          <w:lang w:val="es-ES" w:eastAsia="es-ES"/>
        </w:rPr>
      </w:pPr>
      <w:bookmarkStart w:id="11" w:name="_Toc235815257"/>
      <w:r w:rsidRPr="00807A30">
        <w:rPr>
          <w:rFonts w:ascii="Serif" w:eastAsia="Times New Roman" w:hAnsi="Serif" w:cs="Times New Roman"/>
          <w:color w:val="303030"/>
          <w:sz w:val="26"/>
          <w:szCs w:val="26"/>
          <w:lang w:val="es-ES" w:eastAsia="es-ES"/>
        </w:rPr>
        <w:t>¿Cómo se entiende la Capacidad Económica según la legislación ecuatoguineana</w:t>
      </w:r>
      <w:r>
        <w:rPr>
          <w:rFonts w:ascii="Serif" w:eastAsia="Times New Roman" w:hAnsi="Serif" w:cs="Times New Roman"/>
          <w:color w:val="303030"/>
          <w:sz w:val="26"/>
          <w:szCs w:val="26"/>
          <w:lang w:val="es-ES" w:eastAsia="es-ES"/>
        </w:rPr>
        <w:t>?</w:t>
      </w:r>
      <w:r w:rsidRPr="00807A30">
        <w:rPr>
          <w:rFonts w:ascii="Serif" w:eastAsia="Times New Roman" w:hAnsi="Serif" w:cs="Times New Roman"/>
          <w:color w:val="303030"/>
          <w:sz w:val="26"/>
          <w:szCs w:val="26"/>
          <w:lang w:val="es-ES" w:eastAsia="es-ES"/>
        </w:rPr>
        <w:t xml:space="preserve"> (Arts. 19 y 20 LF)</w:t>
      </w:r>
      <w:bookmarkEnd w:id="11"/>
      <w:r w:rsidRPr="00807A30">
        <w:rPr>
          <w:rFonts w:ascii="Serif" w:eastAsia="Times New Roman" w:hAnsi="Serif" w:cs="Times New Roman"/>
          <w:color w:val="303030"/>
          <w:sz w:val="26"/>
          <w:szCs w:val="26"/>
          <w:lang w:val="es-ES" w:eastAsia="es-ES"/>
        </w:rPr>
        <w:t xml:space="preserve"> </w:t>
      </w:r>
    </w:p>
    <w:p w:rsidR="0010344B" w:rsidRPr="00807A30" w:rsidRDefault="0010344B" w:rsidP="0010344B">
      <w:pPr>
        <w:spacing w:after="0" w:line="276" w:lineRule="auto"/>
        <w:jc w:val="both"/>
        <w:rPr>
          <w:rFonts w:ascii="Serif" w:eastAsia="Times New Roman" w:hAnsi="Serif" w:cs="Times New Roman"/>
          <w:color w:val="303030"/>
          <w:sz w:val="26"/>
          <w:szCs w:val="26"/>
          <w:lang w:val="es-ES" w:eastAsia="es-ES"/>
        </w:rPr>
      </w:pPr>
    </w:p>
    <w:p w:rsidR="0010344B" w:rsidRPr="00116AF7" w:rsidRDefault="0010344B" w:rsidP="00116AF7">
      <w:pPr>
        <w:spacing w:after="0" w:line="276" w:lineRule="auto"/>
        <w:jc w:val="both"/>
        <w:rPr>
          <w:rFonts w:ascii="Serif" w:eastAsia="Times New Roman" w:hAnsi="Serif" w:cs="Times New Roman"/>
          <w:color w:val="303030"/>
          <w:sz w:val="26"/>
          <w:szCs w:val="26"/>
          <w:lang w:val="es-ES" w:eastAsia="es-ES"/>
        </w:rPr>
      </w:pPr>
      <w:r>
        <w:rPr>
          <w:rFonts w:ascii="Serif" w:eastAsia="Times New Roman" w:hAnsi="Serif" w:cs="Times New Roman"/>
          <w:color w:val="303030"/>
          <w:sz w:val="26"/>
          <w:szCs w:val="26"/>
          <w:lang w:val="es-ES" w:eastAsia="es-ES"/>
        </w:rPr>
        <w:t xml:space="preserve">La Ley Fundamental de </w:t>
      </w:r>
      <w:r w:rsidRPr="00807A30">
        <w:rPr>
          <w:rFonts w:ascii="Serif" w:eastAsia="Times New Roman" w:hAnsi="Serif" w:cs="Times New Roman"/>
          <w:color w:val="303030"/>
          <w:sz w:val="26"/>
          <w:szCs w:val="26"/>
          <w:lang w:val="es-ES" w:eastAsia="es-ES"/>
        </w:rPr>
        <w:t>Guinea Ecuatorial en los artículos</w:t>
      </w:r>
      <w:r w:rsidR="00116AF7">
        <w:rPr>
          <w:rFonts w:ascii="Serif" w:eastAsia="Times New Roman" w:hAnsi="Serif" w:cs="Times New Roman"/>
          <w:color w:val="303030"/>
          <w:sz w:val="26"/>
          <w:szCs w:val="26"/>
          <w:lang w:val="es-ES" w:eastAsia="es-ES"/>
        </w:rPr>
        <w:t xml:space="preserve"> 19 y 20, aborda el principio de </w:t>
      </w:r>
      <w:r w:rsidRPr="00116AF7">
        <w:rPr>
          <w:rFonts w:ascii="Serif" w:eastAsia="Times New Roman" w:hAnsi="Serif" w:cs="Times New Roman"/>
          <w:bCs/>
          <w:color w:val="303030"/>
          <w:sz w:val="26"/>
          <w:szCs w:val="26"/>
          <w:lang w:val="es-ES" w:eastAsia="es-ES"/>
        </w:rPr>
        <w:t>capacidad económica</w:t>
      </w:r>
      <w:r w:rsidRPr="00807A30">
        <w:rPr>
          <w:rFonts w:ascii="Serif" w:eastAsia="Times New Roman" w:hAnsi="Serif" w:cs="Times New Roman"/>
          <w:color w:val="303030"/>
          <w:sz w:val="26"/>
          <w:szCs w:val="26"/>
          <w:lang w:val="es-ES" w:eastAsia="es-ES"/>
        </w:rPr>
        <w:t xml:space="preserve"> </w:t>
      </w:r>
      <w:r w:rsidR="00116AF7">
        <w:rPr>
          <w:rFonts w:ascii="Serif" w:eastAsia="Times New Roman" w:hAnsi="Serif" w:cs="Times New Roman"/>
          <w:color w:val="303030"/>
          <w:sz w:val="26"/>
          <w:szCs w:val="26"/>
          <w:lang w:val="es-ES" w:eastAsia="es-ES"/>
        </w:rPr>
        <w:t xml:space="preserve">al </w:t>
      </w:r>
      <w:r w:rsidRPr="00807A30">
        <w:rPr>
          <w:rFonts w:ascii="Serif" w:eastAsia="Times New Roman" w:hAnsi="Serif" w:cs="Times New Roman"/>
          <w:color w:val="303030"/>
          <w:sz w:val="26"/>
          <w:szCs w:val="26"/>
          <w:lang w:val="es-ES" w:eastAsia="es-ES"/>
        </w:rPr>
        <w:t xml:space="preserve">mencionar que el deber </w:t>
      </w:r>
      <w:r w:rsidR="00116AF7">
        <w:rPr>
          <w:rFonts w:ascii="Serif" w:eastAsia="Times New Roman" w:hAnsi="Serif" w:cs="Times New Roman"/>
          <w:color w:val="303030"/>
          <w:sz w:val="26"/>
          <w:szCs w:val="26"/>
          <w:lang w:val="es-ES" w:eastAsia="es-ES"/>
        </w:rPr>
        <w:t xml:space="preserve">de contribuir </w:t>
      </w:r>
      <w:r w:rsidRPr="00807A30">
        <w:rPr>
          <w:rFonts w:ascii="Serif" w:eastAsia="Times New Roman" w:hAnsi="Serif" w:cs="Times New Roman"/>
          <w:color w:val="303030"/>
          <w:sz w:val="26"/>
          <w:szCs w:val="26"/>
          <w:lang w:val="es-ES" w:eastAsia="es-ES"/>
        </w:rPr>
        <w:t xml:space="preserve">es </w:t>
      </w:r>
      <w:r w:rsidR="00116AF7">
        <w:rPr>
          <w:rFonts w:ascii="Serif" w:eastAsia="Times New Roman" w:hAnsi="Serif" w:cs="Times New Roman"/>
          <w:color w:val="303030"/>
          <w:sz w:val="26"/>
          <w:szCs w:val="26"/>
          <w:lang w:val="es-ES" w:eastAsia="es-ES"/>
        </w:rPr>
        <w:t>proporcional a la</w:t>
      </w:r>
      <w:r w:rsidRPr="00807A30">
        <w:rPr>
          <w:rFonts w:ascii="Serif" w:eastAsia="Times New Roman" w:hAnsi="Serif" w:cs="Times New Roman"/>
          <w:color w:val="303030"/>
          <w:sz w:val="26"/>
          <w:szCs w:val="26"/>
          <w:lang w:val="es-ES" w:eastAsia="es-ES"/>
        </w:rPr>
        <w:t xml:space="preserve">s facultades contributivas, </w:t>
      </w:r>
      <w:r w:rsidR="00116AF7">
        <w:rPr>
          <w:rFonts w:ascii="Serif" w:eastAsia="Times New Roman" w:hAnsi="Serif" w:cs="Times New Roman"/>
          <w:color w:val="303030"/>
          <w:sz w:val="26"/>
          <w:szCs w:val="26"/>
          <w:lang w:val="es-ES" w:eastAsia="es-ES"/>
        </w:rPr>
        <w:t xml:space="preserve">indicando que </w:t>
      </w:r>
      <w:r w:rsidRPr="00807A30">
        <w:rPr>
          <w:rFonts w:ascii="Serif" w:eastAsia="Times New Roman" w:hAnsi="Serif" w:cs="Times New Roman"/>
          <w:color w:val="303030"/>
          <w:sz w:val="26"/>
          <w:szCs w:val="26"/>
          <w:lang w:val="es-ES" w:eastAsia="es-ES"/>
        </w:rPr>
        <w:t>la carga tributaria no es plana ni arbitraria, sino que debe ajustarse a la riqueza real del sujeto.</w:t>
      </w:r>
      <w:r w:rsidR="00116AF7">
        <w:rPr>
          <w:rFonts w:ascii="Serif" w:eastAsia="Times New Roman" w:hAnsi="Serif" w:cs="Times New Roman"/>
          <w:color w:val="303030"/>
          <w:sz w:val="26"/>
          <w:szCs w:val="26"/>
          <w:lang w:val="es-ES" w:eastAsia="es-ES"/>
        </w:rPr>
        <w:t xml:space="preserve"> Esa idea es complementada mediante la mención de </w:t>
      </w:r>
      <w:r w:rsidRPr="00807A30">
        <w:rPr>
          <w:rFonts w:ascii="Serif" w:eastAsia="Times New Roman" w:hAnsi="Serif" w:cs="Times New Roman"/>
          <w:color w:val="303030"/>
          <w:sz w:val="26"/>
          <w:szCs w:val="26"/>
          <w:lang w:val="es-ES" w:eastAsia="es-ES"/>
        </w:rPr>
        <w:t xml:space="preserve">los principios de </w:t>
      </w:r>
      <w:r w:rsidRPr="00116AF7">
        <w:rPr>
          <w:rFonts w:ascii="Serif" w:eastAsia="Times New Roman" w:hAnsi="Serif" w:cs="Times New Roman"/>
          <w:bCs/>
          <w:color w:val="303030"/>
          <w:sz w:val="26"/>
          <w:szCs w:val="26"/>
          <w:lang w:val="es-ES" w:eastAsia="es-ES"/>
        </w:rPr>
        <w:t>igualdad y generalidad</w:t>
      </w:r>
      <w:r w:rsidR="00116AF7" w:rsidRPr="00116AF7">
        <w:rPr>
          <w:rFonts w:ascii="Serif" w:eastAsia="Times New Roman" w:hAnsi="Serif" w:cs="Times New Roman"/>
          <w:color w:val="303030"/>
          <w:sz w:val="26"/>
          <w:szCs w:val="26"/>
          <w:lang w:val="es-ES" w:eastAsia="es-ES"/>
        </w:rPr>
        <w:t>,</w:t>
      </w:r>
      <w:r w:rsidR="00116AF7">
        <w:rPr>
          <w:rFonts w:ascii="Serif" w:eastAsia="Times New Roman" w:hAnsi="Serif" w:cs="Times New Roman"/>
          <w:color w:val="303030"/>
          <w:sz w:val="26"/>
          <w:szCs w:val="26"/>
          <w:lang w:val="es-ES" w:eastAsia="es-ES"/>
        </w:rPr>
        <w:t xml:space="preserve"> dejando claro que </w:t>
      </w:r>
      <w:r w:rsidRPr="00807A30">
        <w:rPr>
          <w:rFonts w:ascii="Serif" w:eastAsia="Times New Roman" w:hAnsi="Serif" w:cs="Times New Roman"/>
          <w:color w:val="303030"/>
          <w:sz w:val="26"/>
          <w:szCs w:val="26"/>
          <w:lang w:val="es-ES" w:eastAsia="es-ES"/>
        </w:rPr>
        <w:t>todos los que tengan capacidad económica deben contribuir, sin privilegios injustificados.</w:t>
      </w:r>
    </w:p>
    <w:p w:rsidR="003911E2" w:rsidRPr="00807A30" w:rsidRDefault="00116AF7" w:rsidP="00A60995">
      <w:pPr>
        <w:pStyle w:val="Ttulo1"/>
        <w:rPr>
          <w:rFonts w:ascii="Serif" w:hAnsi="Serif"/>
          <w:sz w:val="26"/>
          <w:szCs w:val="26"/>
          <w:lang w:val="es-ES"/>
        </w:rPr>
      </w:pPr>
      <w:bookmarkStart w:id="12" w:name="_Toc235815258"/>
      <w:r>
        <w:rPr>
          <w:rFonts w:ascii="Serif" w:hAnsi="Serif"/>
          <w:sz w:val="26"/>
          <w:szCs w:val="26"/>
          <w:lang w:val="es-ES"/>
        </w:rPr>
        <w:t>CONCLUSI</w:t>
      </w:r>
      <w:r>
        <w:rPr>
          <w:rFonts w:ascii="Serif" w:hAnsi="Serif" w:hint="cs"/>
          <w:sz w:val="26"/>
          <w:szCs w:val="26"/>
          <w:lang w:val="es-ES"/>
        </w:rPr>
        <w:t>Ó</w:t>
      </w:r>
      <w:r>
        <w:rPr>
          <w:rFonts w:ascii="Serif" w:hAnsi="Serif"/>
          <w:sz w:val="26"/>
          <w:szCs w:val="26"/>
          <w:lang w:val="es-ES"/>
        </w:rPr>
        <w:t>N</w:t>
      </w:r>
      <w:bookmarkEnd w:id="12"/>
      <w:r>
        <w:rPr>
          <w:rFonts w:ascii="Serif" w:hAnsi="Serif"/>
          <w:sz w:val="26"/>
          <w:szCs w:val="26"/>
          <w:lang w:val="es-ES"/>
        </w:rPr>
        <w:t xml:space="preserve"> </w:t>
      </w:r>
    </w:p>
    <w:p w:rsidR="003911E2" w:rsidRPr="00807A30" w:rsidRDefault="00A636B3" w:rsidP="007022CA">
      <w:pPr>
        <w:spacing w:line="276" w:lineRule="auto"/>
        <w:jc w:val="both"/>
        <w:rPr>
          <w:rFonts w:ascii="Serif" w:hAnsi="Serif"/>
          <w:sz w:val="26"/>
          <w:szCs w:val="26"/>
          <w:lang w:val="es-ES"/>
        </w:rPr>
      </w:pPr>
      <w:r w:rsidRPr="00807A30">
        <w:rPr>
          <w:rFonts w:ascii="Serif" w:hAnsi="Serif"/>
          <w:sz w:val="26"/>
          <w:szCs w:val="26"/>
          <w:lang w:val="es-ES"/>
        </w:rPr>
        <w:t>En resumen, la capacidad económica se entiende como la idea de que:</w:t>
      </w:r>
    </w:p>
    <w:p w:rsidR="00116AF7" w:rsidRPr="00116AF7" w:rsidRDefault="00116AF7" w:rsidP="00116AF7">
      <w:pPr>
        <w:pStyle w:val="Prrafodelista"/>
        <w:numPr>
          <w:ilvl w:val="0"/>
          <w:numId w:val="12"/>
        </w:numPr>
        <w:spacing w:line="276" w:lineRule="auto"/>
        <w:jc w:val="both"/>
        <w:rPr>
          <w:rFonts w:ascii="Serif" w:hAnsi="Serif"/>
          <w:sz w:val="26"/>
          <w:szCs w:val="26"/>
          <w:lang w:val="es-ES"/>
        </w:rPr>
      </w:pPr>
      <w:r w:rsidRPr="00116AF7">
        <w:rPr>
          <w:rFonts w:ascii="Serif" w:hAnsi="Serif"/>
          <w:sz w:val="26"/>
          <w:szCs w:val="26"/>
          <w:lang w:val="es-ES"/>
        </w:rPr>
        <w:t>S</w:t>
      </w:r>
      <w:r w:rsidR="00A636B3" w:rsidRPr="00116AF7">
        <w:rPr>
          <w:rFonts w:ascii="Serif" w:hAnsi="Serif"/>
          <w:sz w:val="26"/>
          <w:szCs w:val="26"/>
          <w:lang w:val="es-ES"/>
        </w:rPr>
        <w:t xml:space="preserve">olo debe tributar quien revela riqueza </w:t>
      </w:r>
    </w:p>
    <w:p w:rsidR="00116AF7" w:rsidRPr="00116AF7" w:rsidRDefault="00116AF7" w:rsidP="00116AF7">
      <w:pPr>
        <w:pStyle w:val="Prrafodelista"/>
        <w:numPr>
          <w:ilvl w:val="0"/>
          <w:numId w:val="12"/>
        </w:numPr>
        <w:spacing w:line="276" w:lineRule="auto"/>
        <w:jc w:val="both"/>
        <w:rPr>
          <w:rFonts w:ascii="Serif" w:hAnsi="Serif"/>
          <w:sz w:val="26"/>
          <w:szCs w:val="26"/>
          <w:lang w:val="es-ES"/>
        </w:rPr>
      </w:pPr>
      <w:r w:rsidRPr="00116AF7">
        <w:rPr>
          <w:rFonts w:ascii="Serif" w:hAnsi="Serif"/>
          <w:sz w:val="26"/>
          <w:szCs w:val="26"/>
          <w:lang w:val="es-ES"/>
        </w:rPr>
        <w:t>E</w:t>
      </w:r>
      <w:r w:rsidR="00A636B3" w:rsidRPr="00116AF7">
        <w:rPr>
          <w:rFonts w:ascii="Serif" w:hAnsi="Serif"/>
          <w:sz w:val="26"/>
          <w:szCs w:val="26"/>
          <w:lang w:val="es-ES"/>
        </w:rPr>
        <w:t xml:space="preserve">sa riqueza puede ser real o potencial, pero nunca ficticia </w:t>
      </w:r>
    </w:p>
    <w:p w:rsidR="00116AF7" w:rsidRPr="00116AF7" w:rsidRDefault="00116AF7" w:rsidP="00116AF7">
      <w:pPr>
        <w:pStyle w:val="Prrafodelista"/>
        <w:numPr>
          <w:ilvl w:val="0"/>
          <w:numId w:val="12"/>
        </w:numPr>
        <w:spacing w:line="276" w:lineRule="auto"/>
        <w:jc w:val="both"/>
        <w:rPr>
          <w:rFonts w:ascii="Serif" w:hAnsi="Serif"/>
          <w:sz w:val="26"/>
          <w:szCs w:val="26"/>
          <w:lang w:val="es-ES"/>
        </w:rPr>
      </w:pPr>
      <w:r w:rsidRPr="00116AF7">
        <w:rPr>
          <w:rFonts w:ascii="Serif" w:hAnsi="Serif"/>
          <w:sz w:val="26"/>
          <w:szCs w:val="26"/>
          <w:lang w:val="es-ES"/>
        </w:rPr>
        <w:t>L</w:t>
      </w:r>
      <w:r w:rsidR="00A636B3" w:rsidRPr="00116AF7">
        <w:rPr>
          <w:rFonts w:ascii="Serif" w:hAnsi="Serif"/>
          <w:sz w:val="26"/>
          <w:szCs w:val="26"/>
          <w:lang w:val="es-ES"/>
        </w:rPr>
        <w:t xml:space="preserve">a ley tributaria debe tomar esa riqueza como fundamento del tributo y también, en la medida de lo posible, como criterio para cuantificarlo </w:t>
      </w:r>
    </w:p>
    <w:p w:rsidR="003911E2" w:rsidRPr="00116AF7" w:rsidRDefault="00116AF7" w:rsidP="007022CA">
      <w:pPr>
        <w:pStyle w:val="Prrafodelista"/>
        <w:numPr>
          <w:ilvl w:val="0"/>
          <w:numId w:val="12"/>
        </w:numPr>
        <w:spacing w:line="276" w:lineRule="auto"/>
        <w:jc w:val="both"/>
        <w:rPr>
          <w:rFonts w:ascii="Serif" w:hAnsi="Serif"/>
          <w:sz w:val="26"/>
          <w:szCs w:val="26"/>
          <w:lang w:val="es-ES"/>
        </w:rPr>
      </w:pPr>
      <w:r w:rsidRPr="00116AF7">
        <w:rPr>
          <w:rFonts w:ascii="Serif" w:hAnsi="Serif"/>
          <w:sz w:val="26"/>
          <w:szCs w:val="26"/>
          <w:lang w:val="es-ES"/>
        </w:rPr>
        <w:t>E</w:t>
      </w:r>
      <w:r w:rsidR="00A636B3" w:rsidRPr="00116AF7">
        <w:rPr>
          <w:rFonts w:ascii="Serif" w:hAnsi="Serif"/>
          <w:sz w:val="26"/>
          <w:szCs w:val="26"/>
          <w:lang w:val="es-ES"/>
        </w:rPr>
        <w:t>l sistema no puede producir resultados en los que se grave una riqueza inexistente o se imponga una carga desproporcionada respe</w:t>
      </w:r>
      <w:r w:rsidRPr="00116AF7">
        <w:rPr>
          <w:rFonts w:ascii="Serif" w:hAnsi="Serif"/>
          <w:sz w:val="26"/>
          <w:szCs w:val="26"/>
          <w:lang w:val="es-ES"/>
        </w:rPr>
        <w:t>cto de la capacidad manifestada.</w:t>
      </w:r>
    </w:p>
    <w:p w:rsidR="00A60995" w:rsidRPr="00807A30" w:rsidRDefault="00A60995" w:rsidP="00A60995">
      <w:pPr>
        <w:spacing w:after="0" w:line="276" w:lineRule="auto"/>
        <w:jc w:val="both"/>
        <w:rPr>
          <w:rFonts w:ascii="Serif" w:eastAsia="Times New Roman" w:hAnsi="Serif" w:cs="Times New Roman"/>
          <w:color w:val="303030"/>
          <w:sz w:val="26"/>
          <w:szCs w:val="26"/>
          <w:lang w:val="es-ES" w:eastAsia="es-ES"/>
        </w:rPr>
      </w:pPr>
    </w:p>
    <w:sectPr w:rsidR="00A60995" w:rsidRPr="00807A30">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567" w:rsidRDefault="006E4567">
      <w:pPr>
        <w:spacing w:after="0" w:line="240" w:lineRule="auto"/>
      </w:pPr>
      <w:r>
        <w:separator/>
      </w:r>
    </w:p>
  </w:endnote>
  <w:endnote w:type="continuationSeparator" w:id="0">
    <w:p w:rsidR="006E4567" w:rsidRDefault="006E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684156"/>
      <w:docPartObj>
        <w:docPartGallery w:val="Page Numbers (Bottom of Page)"/>
        <w:docPartUnique/>
      </w:docPartObj>
    </w:sdtPr>
    <w:sdtContent>
      <w:p w:rsidR="0010344B" w:rsidRDefault="0010344B">
        <w:pPr>
          <w:pStyle w:val="Piedepgina"/>
          <w:jc w:val="right"/>
        </w:pPr>
        <w:r>
          <w:fldChar w:fldCharType="begin"/>
        </w:r>
        <w:r>
          <w:instrText>PAGE   \* MERGEFORMAT</w:instrText>
        </w:r>
        <w:r>
          <w:fldChar w:fldCharType="separate"/>
        </w:r>
        <w:r w:rsidR="000D4BD7" w:rsidRPr="000D4BD7">
          <w:rPr>
            <w:noProof/>
            <w:lang w:val="es-ES"/>
          </w:rPr>
          <w:t>7</w:t>
        </w:r>
        <w:r>
          <w:fldChar w:fldCharType="end"/>
        </w:r>
      </w:p>
    </w:sdtContent>
  </w:sdt>
  <w:p w:rsidR="0010344B" w:rsidRDefault="0010344B">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567" w:rsidRDefault="006E4567">
      <w:pPr>
        <w:spacing w:after="0" w:line="240" w:lineRule="auto"/>
      </w:pPr>
      <w:r>
        <w:separator/>
      </w:r>
    </w:p>
  </w:footnote>
  <w:footnote w:type="continuationSeparator" w:id="0">
    <w:p w:rsidR="006E4567" w:rsidRDefault="006E4567">
      <w:pPr>
        <w:spacing w:after="0" w:line="240" w:lineRule="auto"/>
      </w:pPr>
      <w:r>
        <w:continuationSeparator/>
      </w:r>
    </w:p>
  </w:footnote>
  <w:footnote w:id="1">
    <w:p w:rsidR="0010344B" w:rsidRPr="001C4E59" w:rsidRDefault="0010344B" w:rsidP="001C4E59">
      <w:pPr>
        <w:spacing w:line="276" w:lineRule="auto"/>
        <w:jc w:val="both"/>
        <w:rPr>
          <w:rFonts w:ascii="Serif" w:hAnsi="Serif"/>
          <w:i/>
          <w:sz w:val="26"/>
          <w:szCs w:val="26"/>
          <w:lang w:val="es-ES"/>
        </w:rPr>
      </w:pPr>
      <w:r>
        <w:rPr>
          <w:rStyle w:val="Refdenotaalpie"/>
        </w:rPr>
        <w:footnoteRef/>
      </w:r>
      <w:r>
        <w:t xml:space="preserve"> </w:t>
      </w:r>
      <w:r w:rsidRPr="001C4E59">
        <w:rPr>
          <w:rFonts w:ascii="Serif" w:hAnsi="Serif"/>
          <w:i/>
          <w:sz w:val="22"/>
          <w:szCs w:val="22"/>
          <w:lang w:val="es-ES"/>
        </w:rPr>
        <w:t>Constitución Española</w:t>
      </w:r>
      <w:r>
        <w:rPr>
          <w:rFonts w:ascii="Serif" w:hAnsi="Serif"/>
          <w:i/>
          <w:sz w:val="22"/>
          <w:szCs w:val="22"/>
          <w:lang w:val="es-ES"/>
        </w:rPr>
        <w:t xml:space="preserve"> y</w:t>
      </w:r>
      <w:r w:rsidRPr="001C4E59">
        <w:rPr>
          <w:rFonts w:ascii="Serif" w:hAnsi="Serif"/>
          <w:i/>
          <w:sz w:val="22"/>
          <w:szCs w:val="22"/>
          <w:lang w:val="es-ES"/>
        </w:rPr>
        <w:t xml:space="preserve"> Sentencia 221/1992, de 11 de diciembre de 1992: cuestiones de inconstitucionalidad 1.062/1988 y 2.191/1990, en relación con el art. 4 del Real Decreto-ley 15/1978, de 7 de junio y el art. 355, apartado 5, del Texto Refundido del Régimen Local aprobado por Real Decreto 781/1986, de 18 de abril</w:t>
      </w:r>
      <w:r>
        <w:rPr>
          <w:rFonts w:ascii="Serif" w:hAnsi="Serif"/>
          <w:i/>
          <w:sz w:val="22"/>
          <w:szCs w:val="22"/>
          <w:lang w:val="es-ES"/>
        </w:rPr>
        <w:t>.</w:t>
      </w:r>
    </w:p>
  </w:footnote>
  <w:footnote w:id="2">
    <w:p w:rsidR="0010344B" w:rsidRPr="001C4E59" w:rsidRDefault="0010344B" w:rsidP="001C4E59">
      <w:pPr>
        <w:spacing w:line="276" w:lineRule="auto"/>
        <w:jc w:val="both"/>
        <w:rPr>
          <w:rFonts w:ascii="Serif" w:hAnsi="Serif"/>
          <w:sz w:val="22"/>
          <w:szCs w:val="22"/>
          <w:lang w:val="es-ES"/>
        </w:rPr>
      </w:pPr>
      <w:r w:rsidRPr="001C4E59">
        <w:rPr>
          <w:rStyle w:val="Refdenotaalpie"/>
          <w:rFonts w:ascii="Serif" w:hAnsi="Serif"/>
          <w:sz w:val="22"/>
          <w:szCs w:val="22"/>
        </w:rPr>
        <w:footnoteRef/>
      </w:r>
      <w:r w:rsidRPr="001C4E59">
        <w:rPr>
          <w:rFonts w:ascii="Serif" w:hAnsi="Serif"/>
          <w:sz w:val="22"/>
          <w:szCs w:val="22"/>
        </w:rPr>
        <w:t xml:space="preserve"> </w:t>
      </w:r>
      <w:r w:rsidRPr="001C4E59">
        <w:rPr>
          <w:rFonts w:ascii="Serif" w:hAnsi="Serif"/>
          <w:i/>
          <w:sz w:val="22"/>
          <w:szCs w:val="22"/>
          <w:lang w:val="es-ES"/>
        </w:rPr>
        <w:t>Sentencia 221/1992, de 11 de diciembre de 1992 y Sentencia 26/2017, de 16 de febrero de 2017: cuestión de inconstitucionalidad y prejudicial sobre normas forales fiscales 1012-2015, Planteada por el Juzgado de lo Contencioso-Administrativo número 3 de Donostia-San Sebastián, en relación, de un lado, con diversos preceptos de la Norma Foral 16/1989, de 5 de julio, del impuesto sobre el incremento del valor de los terrenos de naturaleza urbana del territorio histórico de Gipuzkoa, y, de otro, con los artículos 107 y 110.4 del texto refundido de la Ley reguladora de las haciendas locales, aprobado por el Real Decreto Legislativo 2/2004, de 5 de marzo. Principio de capacidad económica y prohibición de conficastoriedad: inadmisión de la cuestión de inconstitucionalidad; nulidad de los preceptos de la norma foral fiscal en tanto someten a tributación situaciones de inexistencia de incrementos de valor de los terrenos de naturaleza urbana.</w:t>
      </w:r>
    </w:p>
  </w:footnote>
  <w:footnote w:id="3">
    <w:p w:rsidR="0010344B" w:rsidRPr="00834FBC" w:rsidRDefault="0010344B" w:rsidP="00AA4703">
      <w:pPr>
        <w:spacing w:line="276" w:lineRule="auto"/>
        <w:jc w:val="both"/>
        <w:rPr>
          <w:rFonts w:ascii="Serif" w:hAnsi="Serif"/>
          <w:i/>
          <w:sz w:val="22"/>
          <w:szCs w:val="22"/>
          <w:lang w:val="es-ES"/>
        </w:rPr>
      </w:pPr>
      <w:r w:rsidRPr="00834FBC">
        <w:rPr>
          <w:rStyle w:val="Refdenotaalpie"/>
          <w:rFonts w:ascii="Serif" w:hAnsi="Serif"/>
          <w:sz w:val="22"/>
          <w:szCs w:val="22"/>
        </w:rPr>
        <w:footnoteRef/>
      </w:r>
      <w:r w:rsidRPr="00834FBC">
        <w:rPr>
          <w:rFonts w:ascii="Serif" w:hAnsi="Serif"/>
          <w:i/>
          <w:sz w:val="22"/>
          <w:szCs w:val="22"/>
          <w:lang w:val="es-ES"/>
        </w:rPr>
        <w:t>STS 517/2016 y Sentencia 175/2025, de 20 de noviembre de 2025. Cuestión de inconstitucionalidad 2525-2024, planteada por la Sala de lo Contencioso-Administrativo del Tribunal Superior de Justicia de la Comunidad Valenciana en relación con la disposición adicional decimocuarta de la Ley 27/2014, de 27 de noviembre, del impuesto sobre sociedades, en la redacción dada por el artículo 71 de la Ley 6/2018, de 3 de julio, de presupuestos generales del Estado para el año 2018. Principio de capacidad económica: constitucionalidad del método de cálculo de los pagos a cuenta, autónomos y provisionales respecto de la obligación tributaria principal, del impuesto sobre sociedades.</w:t>
      </w:r>
    </w:p>
  </w:footnote>
  <w:footnote w:id="4">
    <w:p w:rsidR="0010344B" w:rsidRPr="00DB0372" w:rsidRDefault="0010344B" w:rsidP="00DB0372">
      <w:pPr>
        <w:spacing w:line="276" w:lineRule="auto"/>
        <w:jc w:val="both"/>
        <w:rPr>
          <w:rFonts w:ascii="Serif" w:hAnsi="Serif"/>
          <w:i/>
          <w:sz w:val="22"/>
          <w:szCs w:val="22"/>
          <w:lang w:val="es-ES"/>
        </w:rPr>
      </w:pPr>
      <w:r>
        <w:rPr>
          <w:rStyle w:val="Refdenotaalpie"/>
        </w:rPr>
        <w:footnoteRef/>
      </w:r>
      <w:r>
        <w:t xml:space="preserve"> </w:t>
      </w:r>
      <w:r w:rsidRPr="00DB0372">
        <w:rPr>
          <w:rFonts w:ascii="Serif" w:hAnsi="Serif"/>
          <w:i/>
          <w:sz w:val="22"/>
          <w:szCs w:val="22"/>
          <w:lang w:val="es-ES"/>
        </w:rPr>
        <w:t xml:space="preserve">STC 46/2000, de 17 de febrero de 2000: cuestión de inconstitucionalidad 2876/94, planteada por la Sala de lo Contencioso-Administrativo del Tribunal Superior de Justicia de la Comunidad Valenciana respecto del artículo 27.6.2 de la Ley 44/1978, de 8 de septiembre, del Impuesto sobre la Renta de las Personas Físicas (en la redacción que le dio el art. 84.1 de la Ley 37/1988, de 28 de diciembre, de Presupuestos Generales del Estado para 1989). Se observa la vulneración del principio de igualdad tributaria en términos de capacidad económica: tributación mínima del 8 por 100 para los incrementos irregulares de patrimonio cuando el tipo medio del ejercicio fuera cero. Sentencia 221/1992, de 11 de diciembre de 1992: cuestiones de inconstitucionalidad 1.062/1988 y 2.191/1990, en relación con el art. 4 del Real Decreto-ley 15/1978, de 7 de junio, y el art. 355, apartado 5, del Texto Refundido del Régimen Local aprobado por Real Decreto 781/1986, de 18 de abril. </w:t>
      </w:r>
    </w:p>
    <w:p w:rsidR="0010344B" w:rsidRPr="00DB0372" w:rsidRDefault="0010344B">
      <w:pPr>
        <w:pStyle w:val="Textonotapie"/>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4B" w:rsidRPr="007022CA" w:rsidRDefault="0010344B" w:rsidP="007022CA">
    <w:pPr>
      <w:pStyle w:val="Encabezado"/>
      <w:jc w:val="right"/>
      <w:rPr>
        <w:lang w:val="es-ES"/>
      </w:rPr>
    </w:pPr>
    <w:r>
      <w:rPr>
        <w:lang w:val="es-ES"/>
      </w:rPr>
      <w:t>Serafina SIALO TORAHO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EB9"/>
    <w:multiLevelType w:val="hybridMultilevel"/>
    <w:tmpl w:val="AF12E1B2"/>
    <w:lvl w:ilvl="0" w:tplc="2FB8FE4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08F4196"/>
    <w:multiLevelType w:val="multilevel"/>
    <w:tmpl w:val="AC06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B34A3"/>
    <w:multiLevelType w:val="multilevel"/>
    <w:tmpl w:val="2B14E60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nsid w:val="2789771A"/>
    <w:multiLevelType w:val="multilevel"/>
    <w:tmpl w:val="EDCE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F5F54"/>
    <w:multiLevelType w:val="hybridMultilevel"/>
    <w:tmpl w:val="ED987B9E"/>
    <w:lvl w:ilvl="0" w:tplc="DE8A089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3302315"/>
    <w:multiLevelType w:val="hybridMultilevel"/>
    <w:tmpl w:val="FD60F4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C630BB5"/>
    <w:multiLevelType w:val="multilevel"/>
    <w:tmpl w:val="825446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nsid w:val="5CCF452A"/>
    <w:multiLevelType w:val="hybridMultilevel"/>
    <w:tmpl w:val="62B2A0AE"/>
    <w:lvl w:ilvl="0" w:tplc="CEF656D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11C4B50"/>
    <w:multiLevelType w:val="multilevel"/>
    <w:tmpl w:val="DE46D7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9">
    <w:nsid w:val="624A0BCA"/>
    <w:multiLevelType w:val="hybridMultilevel"/>
    <w:tmpl w:val="9BA46244"/>
    <w:lvl w:ilvl="0" w:tplc="2F38D728">
      <w:start w:val="1"/>
      <w:numFmt w:val="lowerLetter"/>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49E4031"/>
    <w:multiLevelType w:val="multilevel"/>
    <w:tmpl w:val="C484A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ACB1BD6"/>
    <w:multiLevelType w:val="hybridMultilevel"/>
    <w:tmpl w:val="FD60F4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3"/>
  </w:num>
  <w:num w:numId="6">
    <w:abstractNumId w:val="5"/>
  </w:num>
  <w:num w:numId="7">
    <w:abstractNumId w:val="9"/>
  </w:num>
  <w:num w:numId="8">
    <w:abstractNumId w:val="1"/>
  </w:num>
  <w:num w:numId="9">
    <w:abstractNumId w:val="0"/>
  </w:num>
  <w:num w:numId="10">
    <w:abstractNumId w:val="7"/>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1E2"/>
    <w:rsid w:val="000D4BD7"/>
    <w:rsid w:val="0010344B"/>
    <w:rsid w:val="00116AF7"/>
    <w:rsid w:val="001C4E59"/>
    <w:rsid w:val="0027554F"/>
    <w:rsid w:val="003911E2"/>
    <w:rsid w:val="006E4567"/>
    <w:rsid w:val="007022CA"/>
    <w:rsid w:val="007A3208"/>
    <w:rsid w:val="00807A30"/>
    <w:rsid w:val="00834FBC"/>
    <w:rsid w:val="008A5FE2"/>
    <w:rsid w:val="009F7DE7"/>
    <w:rsid w:val="00A60995"/>
    <w:rsid w:val="00A636B3"/>
    <w:rsid w:val="00AA4703"/>
    <w:rsid w:val="00AE473D"/>
    <w:rsid w:val="00BD6124"/>
    <w:rsid w:val="00BD78A4"/>
    <w:rsid w:val="00DB0372"/>
    <w:rsid w:val="00DE7221"/>
    <w:rsid w:val="00EE1F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ontserrat" w:eastAsiaTheme="minorHAnsi" w:hAnsiTheme="minorHAnsi" w:cstheme="minorBidi"/>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uiPriority w:val="9"/>
    <w:qFormat/>
    <w:pPr>
      <w:keepNext/>
      <w:keepLines/>
      <w:spacing w:before="480" w:after="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FF"/>
      <w:u w:val="single"/>
    </w:rPr>
  </w:style>
  <w:style w:type="paragraph" w:styleId="Textodeglobo">
    <w:name w:val="Balloon Text"/>
    <w:basedOn w:val="Normal"/>
    <w:link w:val="TextodegloboCar"/>
    <w:uiPriority w:val="99"/>
    <w:semiHidden/>
    <w:unhideWhenUsed/>
    <w:rsid w:val="007022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022CA"/>
    <w:rPr>
      <w:rFonts w:ascii="Tahoma" w:hAnsi="Tahoma" w:cs="Tahoma"/>
      <w:sz w:val="16"/>
      <w:szCs w:val="16"/>
    </w:rPr>
  </w:style>
  <w:style w:type="paragraph" w:styleId="Encabezado">
    <w:name w:val="header"/>
    <w:basedOn w:val="Normal"/>
    <w:link w:val="EncabezadoCar"/>
    <w:uiPriority w:val="99"/>
    <w:unhideWhenUsed/>
    <w:rsid w:val="007022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22CA"/>
  </w:style>
  <w:style w:type="paragraph" w:styleId="Piedepgina">
    <w:name w:val="footer"/>
    <w:basedOn w:val="Normal"/>
    <w:link w:val="PiedepginaCar"/>
    <w:uiPriority w:val="99"/>
    <w:unhideWhenUsed/>
    <w:rsid w:val="007022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22CA"/>
  </w:style>
  <w:style w:type="character" w:customStyle="1" w:styleId="ng-star-inserted">
    <w:name w:val="ng-star-inserted"/>
    <w:basedOn w:val="Fuentedeprrafopredeter"/>
    <w:rsid w:val="00A60995"/>
  </w:style>
  <w:style w:type="paragraph" w:styleId="TtulodeTDC">
    <w:name w:val="TOC Heading"/>
    <w:basedOn w:val="Ttulo1"/>
    <w:next w:val="Normal"/>
    <w:uiPriority w:val="39"/>
    <w:semiHidden/>
    <w:unhideWhenUsed/>
    <w:qFormat/>
    <w:rsid w:val="00A60995"/>
    <w:pPr>
      <w:spacing w:line="276" w:lineRule="auto"/>
      <w:outlineLvl w:val="9"/>
    </w:pPr>
    <w:rPr>
      <w:rFonts w:asciiTheme="majorHAnsi" w:eastAsiaTheme="majorEastAsia" w:hAnsiTheme="majorHAnsi" w:cstheme="majorBidi"/>
      <w:bCs/>
      <w:color w:val="2F5496" w:themeColor="accent1" w:themeShade="BF"/>
      <w:sz w:val="28"/>
      <w:szCs w:val="28"/>
      <w:lang w:val="es-ES" w:eastAsia="es-ES"/>
    </w:rPr>
  </w:style>
  <w:style w:type="paragraph" w:styleId="TDC1">
    <w:name w:val="toc 1"/>
    <w:basedOn w:val="Normal"/>
    <w:next w:val="Normal"/>
    <w:autoRedefine/>
    <w:uiPriority w:val="39"/>
    <w:unhideWhenUsed/>
    <w:rsid w:val="00A60995"/>
    <w:pPr>
      <w:spacing w:after="100"/>
    </w:pPr>
  </w:style>
  <w:style w:type="paragraph" w:styleId="TDC2">
    <w:name w:val="toc 2"/>
    <w:basedOn w:val="Normal"/>
    <w:next w:val="Normal"/>
    <w:autoRedefine/>
    <w:uiPriority w:val="39"/>
    <w:unhideWhenUsed/>
    <w:rsid w:val="00A60995"/>
    <w:pPr>
      <w:spacing w:after="100"/>
      <w:ind w:left="200"/>
    </w:pPr>
  </w:style>
  <w:style w:type="paragraph" w:styleId="TDC3">
    <w:name w:val="toc 3"/>
    <w:basedOn w:val="Normal"/>
    <w:next w:val="Normal"/>
    <w:autoRedefine/>
    <w:uiPriority w:val="39"/>
    <w:unhideWhenUsed/>
    <w:rsid w:val="00A60995"/>
    <w:pPr>
      <w:spacing w:after="100"/>
      <w:ind w:left="400"/>
    </w:pPr>
  </w:style>
  <w:style w:type="paragraph" w:styleId="Textonotapie">
    <w:name w:val="footnote text"/>
    <w:basedOn w:val="Normal"/>
    <w:link w:val="TextonotapieCar"/>
    <w:uiPriority w:val="99"/>
    <w:semiHidden/>
    <w:unhideWhenUsed/>
    <w:rsid w:val="001C4E59"/>
    <w:pPr>
      <w:spacing w:after="0" w:line="240" w:lineRule="auto"/>
    </w:pPr>
  </w:style>
  <w:style w:type="character" w:customStyle="1" w:styleId="TextonotapieCar">
    <w:name w:val="Texto nota pie Car"/>
    <w:basedOn w:val="Fuentedeprrafopredeter"/>
    <w:link w:val="Textonotapie"/>
    <w:uiPriority w:val="99"/>
    <w:semiHidden/>
    <w:rsid w:val="001C4E59"/>
  </w:style>
  <w:style w:type="character" w:styleId="Refdenotaalpie">
    <w:name w:val="footnote reference"/>
    <w:basedOn w:val="Fuentedeprrafopredeter"/>
    <w:uiPriority w:val="99"/>
    <w:semiHidden/>
    <w:unhideWhenUsed/>
    <w:rsid w:val="001C4E59"/>
    <w:rPr>
      <w:vertAlign w:val="superscript"/>
    </w:rPr>
  </w:style>
  <w:style w:type="paragraph" w:styleId="Prrafodelista">
    <w:name w:val="List Paragraph"/>
    <w:basedOn w:val="Normal"/>
    <w:uiPriority w:val="34"/>
    <w:qFormat/>
    <w:rsid w:val="00DE72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ontserrat" w:eastAsiaTheme="minorHAnsi" w:hAnsiTheme="minorHAnsi" w:cstheme="minorBidi"/>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uiPriority w:val="9"/>
    <w:qFormat/>
    <w:pPr>
      <w:keepNext/>
      <w:keepLines/>
      <w:spacing w:before="480" w:after="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FF"/>
      <w:u w:val="single"/>
    </w:rPr>
  </w:style>
  <w:style w:type="paragraph" w:styleId="Textodeglobo">
    <w:name w:val="Balloon Text"/>
    <w:basedOn w:val="Normal"/>
    <w:link w:val="TextodegloboCar"/>
    <w:uiPriority w:val="99"/>
    <w:semiHidden/>
    <w:unhideWhenUsed/>
    <w:rsid w:val="007022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022CA"/>
    <w:rPr>
      <w:rFonts w:ascii="Tahoma" w:hAnsi="Tahoma" w:cs="Tahoma"/>
      <w:sz w:val="16"/>
      <w:szCs w:val="16"/>
    </w:rPr>
  </w:style>
  <w:style w:type="paragraph" w:styleId="Encabezado">
    <w:name w:val="header"/>
    <w:basedOn w:val="Normal"/>
    <w:link w:val="EncabezadoCar"/>
    <w:uiPriority w:val="99"/>
    <w:unhideWhenUsed/>
    <w:rsid w:val="007022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22CA"/>
  </w:style>
  <w:style w:type="paragraph" w:styleId="Piedepgina">
    <w:name w:val="footer"/>
    <w:basedOn w:val="Normal"/>
    <w:link w:val="PiedepginaCar"/>
    <w:uiPriority w:val="99"/>
    <w:unhideWhenUsed/>
    <w:rsid w:val="007022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22CA"/>
  </w:style>
  <w:style w:type="character" w:customStyle="1" w:styleId="ng-star-inserted">
    <w:name w:val="ng-star-inserted"/>
    <w:basedOn w:val="Fuentedeprrafopredeter"/>
    <w:rsid w:val="00A60995"/>
  </w:style>
  <w:style w:type="paragraph" w:styleId="TtulodeTDC">
    <w:name w:val="TOC Heading"/>
    <w:basedOn w:val="Ttulo1"/>
    <w:next w:val="Normal"/>
    <w:uiPriority w:val="39"/>
    <w:semiHidden/>
    <w:unhideWhenUsed/>
    <w:qFormat/>
    <w:rsid w:val="00A60995"/>
    <w:pPr>
      <w:spacing w:line="276" w:lineRule="auto"/>
      <w:outlineLvl w:val="9"/>
    </w:pPr>
    <w:rPr>
      <w:rFonts w:asciiTheme="majorHAnsi" w:eastAsiaTheme="majorEastAsia" w:hAnsiTheme="majorHAnsi" w:cstheme="majorBidi"/>
      <w:bCs/>
      <w:color w:val="2F5496" w:themeColor="accent1" w:themeShade="BF"/>
      <w:sz w:val="28"/>
      <w:szCs w:val="28"/>
      <w:lang w:val="es-ES" w:eastAsia="es-ES"/>
    </w:rPr>
  </w:style>
  <w:style w:type="paragraph" w:styleId="TDC1">
    <w:name w:val="toc 1"/>
    <w:basedOn w:val="Normal"/>
    <w:next w:val="Normal"/>
    <w:autoRedefine/>
    <w:uiPriority w:val="39"/>
    <w:unhideWhenUsed/>
    <w:rsid w:val="00A60995"/>
    <w:pPr>
      <w:spacing w:after="100"/>
    </w:pPr>
  </w:style>
  <w:style w:type="paragraph" w:styleId="TDC2">
    <w:name w:val="toc 2"/>
    <w:basedOn w:val="Normal"/>
    <w:next w:val="Normal"/>
    <w:autoRedefine/>
    <w:uiPriority w:val="39"/>
    <w:unhideWhenUsed/>
    <w:rsid w:val="00A60995"/>
    <w:pPr>
      <w:spacing w:after="100"/>
      <w:ind w:left="200"/>
    </w:pPr>
  </w:style>
  <w:style w:type="paragraph" w:styleId="TDC3">
    <w:name w:val="toc 3"/>
    <w:basedOn w:val="Normal"/>
    <w:next w:val="Normal"/>
    <w:autoRedefine/>
    <w:uiPriority w:val="39"/>
    <w:unhideWhenUsed/>
    <w:rsid w:val="00A60995"/>
    <w:pPr>
      <w:spacing w:after="100"/>
      <w:ind w:left="400"/>
    </w:pPr>
  </w:style>
  <w:style w:type="paragraph" w:styleId="Textonotapie">
    <w:name w:val="footnote text"/>
    <w:basedOn w:val="Normal"/>
    <w:link w:val="TextonotapieCar"/>
    <w:uiPriority w:val="99"/>
    <w:semiHidden/>
    <w:unhideWhenUsed/>
    <w:rsid w:val="001C4E59"/>
    <w:pPr>
      <w:spacing w:after="0" w:line="240" w:lineRule="auto"/>
    </w:pPr>
  </w:style>
  <w:style w:type="character" w:customStyle="1" w:styleId="TextonotapieCar">
    <w:name w:val="Texto nota pie Car"/>
    <w:basedOn w:val="Fuentedeprrafopredeter"/>
    <w:link w:val="Textonotapie"/>
    <w:uiPriority w:val="99"/>
    <w:semiHidden/>
    <w:rsid w:val="001C4E59"/>
  </w:style>
  <w:style w:type="character" w:styleId="Refdenotaalpie">
    <w:name w:val="footnote reference"/>
    <w:basedOn w:val="Fuentedeprrafopredeter"/>
    <w:uiPriority w:val="99"/>
    <w:semiHidden/>
    <w:unhideWhenUsed/>
    <w:rsid w:val="001C4E59"/>
    <w:rPr>
      <w:vertAlign w:val="superscript"/>
    </w:rPr>
  </w:style>
  <w:style w:type="paragraph" w:styleId="Prrafodelista">
    <w:name w:val="List Paragraph"/>
    <w:basedOn w:val="Normal"/>
    <w:uiPriority w:val="34"/>
    <w:qFormat/>
    <w:rsid w:val="00DE7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74635">
      <w:bodyDiv w:val="1"/>
      <w:marLeft w:val="0"/>
      <w:marRight w:val="0"/>
      <w:marTop w:val="0"/>
      <w:marBottom w:val="0"/>
      <w:divBdr>
        <w:top w:val="none" w:sz="0" w:space="0" w:color="auto"/>
        <w:left w:val="none" w:sz="0" w:space="0" w:color="auto"/>
        <w:bottom w:val="none" w:sz="0" w:space="0" w:color="auto"/>
        <w:right w:val="none" w:sz="0" w:space="0" w:color="auto"/>
      </w:divBdr>
      <w:divsChild>
        <w:div w:id="250088083">
          <w:marLeft w:val="0"/>
          <w:marRight w:val="0"/>
          <w:marTop w:val="0"/>
          <w:marBottom w:val="0"/>
          <w:divBdr>
            <w:top w:val="none" w:sz="0" w:space="0" w:color="auto"/>
            <w:left w:val="none" w:sz="0" w:space="0" w:color="auto"/>
            <w:bottom w:val="none" w:sz="0" w:space="0" w:color="auto"/>
            <w:right w:val="none" w:sz="0" w:space="0" w:color="auto"/>
          </w:divBdr>
        </w:div>
      </w:divsChild>
    </w:div>
    <w:div w:id="1162085090">
      <w:bodyDiv w:val="1"/>
      <w:marLeft w:val="0"/>
      <w:marRight w:val="0"/>
      <w:marTop w:val="0"/>
      <w:marBottom w:val="0"/>
      <w:divBdr>
        <w:top w:val="none" w:sz="0" w:space="0" w:color="auto"/>
        <w:left w:val="none" w:sz="0" w:space="0" w:color="auto"/>
        <w:bottom w:val="none" w:sz="0" w:space="0" w:color="auto"/>
        <w:right w:val="none" w:sz="0" w:space="0" w:color="auto"/>
      </w:divBdr>
      <w:divsChild>
        <w:div w:id="1750033758">
          <w:marLeft w:val="0"/>
          <w:marRight w:val="0"/>
          <w:marTop w:val="0"/>
          <w:marBottom w:val="0"/>
          <w:divBdr>
            <w:top w:val="none" w:sz="0" w:space="0" w:color="auto"/>
            <w:left w:val="none" w:sz="0" w:space="0" w:color="auto"/>
            <w:bottom w:val="none" w:sz="0" w:space="0" w:color="auto"/>
            <w:right w:val="none" w:sz="0" w:space="0" w:color="auto"/>
          </w:divBdr>
        </w:div>
        <w:div w:id="1920408125">
          <w:marLeft w:val="0"/>
          <w:marRight w:val="0"/>
          <w:marTop w:val="0"/>
          <w:marBottom w:val="0"/>
          <w:divBdr>
            <w:top w:val="none" w:sz="0" w:space="0" w:color="auto"/>
            <w:left w:val="none" w:sz="0" w:space="0" w:color="auto"/>
            <w:bottom w:val="none" w:sz="0" w:space="0" w:color="auto"/>
            <w:right w:val="none" w:sz="0" w:space="0" w:color="auto"/>
          </w:divBdr>
        </w:div>
      </w:divsChild>
    </w:div>
    <w:div w:id="1648895534">
      <w:bodyDiv w:val="1"/>
      <w:marLeft w:val="0"/>
      <w:marRight w:val="0"/>
      <w:marTop w:val="0"/>
      <w:marBottom w:val="0"/>
      <w:divBdr>
        <w:top w:val="none" w:sz="0" w:space="0" w:color="auto"/>
        <w:left w:val="none" w:sz="0" w:space="0" w:color="auto"/>
        <w:bottom w:val="none" w:sz="0" w:space="0" w:color="auto"/>
        <w:right w:val="none" w:sz="0" w:space="0" w:color="auto"/>
      </w:divBdr>
      <w:divsChild>
        <w:div w:id="1041705670">
          <w:marLeft w:val="0"/>
          <w:marRight w:val="0"/>
          <w:marTop w:val="0"/>
          <w:marBottom w:val="0"/>
          <w:divBdr>
            <w:top w:val="none" w:sz="0" w:space="0" w:color="auto"/>
            <w:left w:val="none" w:sz="0" w:space="0" w:color="auto"/>
            <w:bottom w:val="none" w:sz="0" w:space="0" w:color="auto"/>
            <w:right w:val="none" w:sz="0" w:space="0" w:color="auto"/>
          </w:divBdr>
        </w:div>
        <w:div w:id="20963945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Montserrat"/>
        <a:ea typeface="Montserrat"/>
        <a:cs typeface=""/>
      </a:majorFont>
      <a:minorFont>
        <a:latin typeface="Montserrat"/>
        <a:ea typeface="Montserrat"/>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6BB25-05B8-49EE-B01C-45B031E2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1350</Words>
  <Characters>7428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f9422755ff352bc4</vt:lpstr>
    </vt:vector>
  </TitlesOfParts>
  <Company>Luffi</Company>
  <LinksUpToDate>false</LinksUpToDate>
  <CharactersWithSpaces>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f9422755ff352bc4</dc:title>
  <dc:subject>f9422755ff352bc4</dc:subject>
  <dc:creator>sialofina@gmail.com</dc:creator>
  <cp:lastModifiedBy>Luffi</cp:lastModifiedBy>
  <cp:revision>3</cp:revision>
  <dcterms:created xsi:type="dcterms:W3CDTF">2026-07-26T15:36:00Z</dcterms:created>
  <dcterms:modified xsi:type="dcterms:W3CDTF">2026-07-26T15:39:00Z</dcterms:modified>
</cp:coreProperties>
</file>